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87" w:rsidRPr="003C6F0F" w:rsidRDefault="00346D87" w:rsidP="00346D8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right="0"/>
        <w:contextualSpacing/>
        <w:jc w:val="left"/>
        <w:rPr>
          <w:sz w:val="24"/>
          <w:szCs w:val="24"/>
        </w:rPr>
      </w:pPr>
      <w:r w:rsidRPr="003C6F0F">
        <w:rPr>
          <w:spacing w:val="4"/>
          <w:sz w:val="24"/>
          <w:szCs w:val="24"/>
          <w:shd w:val="clear" w:color="auto" w:fill="FCFCFC"/>
        </w:rPr>
        <w:t xml:space="preserve">Getz D. (2014) Festival and event, tourism. In: Jafari J., Xiao H. (eds) Encyclopedia of Tourism. Springer, Cham [Електорнний ресурс] – Режим доступу: </w:t>
      </w:r>
      <w:r w:rsidRPr="003C6F0F">
        <w:rPr>
          <w:spacing w:val="4"/>
          <w:sz w:val="24"/>
          <w:szCs w:val="24"/>
          <w:lang w:eastAsia="uk-UA"/>
        </w:rPr>
        <w:t>https://doi.org/10.1007/978-3-319-01669-6</w:t>
      </w:r>
    </w:p>
    <w:p w:rsidR="00346D87" w:rsidRPr="003C6F0F" w:rsidRDefault="00346D87" w:rsidP="00346D8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right="0"/>
        <w:contextualSpacing/>
        <w:jc w:val="left"/>
        <w:rPr>
          <w:sz w:val="24"/>
          <w:szCs w:val="24"/>
        </w:rPr>
      </w:pPr>
      <w:r w:rsidRPr="003C6F0F">
        <w:rPr>
          <w:spacing w:val="4"/>
          <w:sz w:val="24"/>
          <w:szCs w:val="24"/>
          <w:shd w:val="clear" w:color="auto" w:fill="FCFCFC"/>
        </w:rPr>
        <w:t xml:space="preserve">Tsiftelidou S., Kourkouridis D., Xanthopoulou-Tsitsoni V. (2017) Assessment of Impact-Contribution of Cultural Festival in the Tourism Development of Thessaloniki. In: Katsoni V., Upadhya A., Stratigea A. (eds) Tourism, Culture and Heritage in a Smart Economy. Springer Proceedings in Business and Economics. Springer, Cham [Електорнний ресурс] – Режим доступу </w:t>
      </w:r>
      <w:hyperlink r:id="rId7" w:history="1">
        <w:r w:rsidRPr="003C6F0F">
          <w:rPr>
            <w:rStyle w:val="a3"/>
            <w:spacing w:val="4"/>
            <w:shd w:val="clear" w:color="auto" w:fill="FCFCFC"/>
          </w:rPr>
          <w:t>https://doi.org/10.1007/978-3-319-47732-9_27</w:t>
        </w:r>
      </w:hyperlink>
    </w:p>
    <w:p w:rsidR="00346D87" w:rsidRPr="00C73E31" w:rsidRDefault="00346D87" w:rsidP="00346D87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right="0"/>
        <w:contextualSpacing/>
        <w:jc w:val="left"/>
        <w:rPr>
          <w:sz w:val="24"/>
          <w:szCs w:val="24"/>
        </w:rPr>
      </w:pPr>
      <w:r w:rsidRPr="003C6F0F">
        <w:rPr>
          <w:spacing w:val="4"/>
          <w:sz w:val="24"/>
          <w:szCs w:val="24"/>
          <w:shd w:val="clear" w:color="auto" w:fill="FCFCFC"/>
        </w:rPr>
        <w:t xml:space="preserve">Cudny W. (2016) Research Methodology in the Analysis of Festivals. In: Festivalisation of Urban Spaces. Springer Geography. Springer, Cham [Електорнний ресурс] – Режим </w:t>
      </w:r>
      <w:r w:rsidRPr="00585E13">
        <w:rPr>
          <w:spacing w:val="4"/>
          <w:sz w:val="24"/>
          <w:szCs w:val="24"/>
          <w:shd w:val="clear" w:color="auto" w:fill="FCFCFC"/>
        </w:rPr>
        <w:t xml:space="preserve">доступу: </w:t>
      </w:r>
      <w:hyperlink r:id="rId8" w:history="1">
        <w:r w:rsidRPr="00585E13">
          <w:rPr>
            <w:rStyle w:val="a3"/>
            <w:spacing w:val="4"/>
            <w:shd w:val="clear" w:color="auto" w:fill="FCFCFC"/>
          </w:rPr>
          <w:t>https://doi.org/10.1007/978-3-319-31997-1_3</w:t>
        </w:r>
      </w:hyperlink>
    </w:p>
    <w:p w:rsidR="00346D87" w:rsidRDefault="00346D87" w:rsidP="00346D87">
      <w:pPr>
        <w:pStyle w:val="ListParagraph"/>
        <w:widowControl/>
        <w:autoSpaceDE/>
        <w:autoSpaceDN/>
        <w:spacing w:line="360" w:lineRule="auto"/>
        <w:ind w:right="0"/>
        <w:contextualSpacing/>
        <w:jc w:val="left"/>
        <w:rPr>
          <w:spacing w:val="4"/>
          <w:sz w:val="24"/>
          <w:szCs w:val="24"/>
          <w:shd w:val="clear" w:color="auto" w:fill="FCFCFC"/>
          <w:lang w:val="uk-UA"/>
        </w:rPr>
      </w:pPr>
    </w:p>
    <w:p w:rsidR="00346D87" w:rsidRDefault="00346D87" w:rsidP="00346D8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6D87" w:rsidRPr="00890F2C" w:rsidRDefault="00346D87" w:rsidP="00346D8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1379A">
        <w:rPr>
          <w:b/>
          <w:sz w:val="28"/>
          <w:szCs w:val="28"/>
          <w:lang w:val="uk-UA"/>
        </w:rPr>
        <w:t>УДК</w:t>
      </w:r>
      <w:r>
        <w:rPr>
          <w:b/>
          <w:lang w:val="uk-UA"/>
        </w:rPr>
        <w:t xml:space="preserve"> </w:t>
      </w:r>
      <w:r w:rsidRPr="003C6F0F">
        <w:rPr>
          <w:b/>
          <w:sz w:val="28"/>
          <w:szCs w:val="28"/>
        </w:rPr>
        <w:t>338.48</w:t>
      </w:r>
      <w:r>
        <w:rPr>
          <w:b/>
          <w:sz w:val="28"/>
          <w:szCs w:val="28"/>
          <w:lang w:val="uk-UA"/>
        </w:rPr>
        <w:t xml:space="preserve"> : 911.3</w:t>
      </w:r>
    </w:p>
    <w:p w:rsidR="00346D87" w:rsidRPr="003C6F0F" w:rsidRDefault="00346D87" w:rsidP="00346D87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3C6F0F">
        <w:rPr>
          <w:b/>
          <w:i/>
          <w:sz w:val="28"/>
          <w:szCs w:val="28"/>
          <w:lang w:val="uk-UA"/>
        </w:rPr>
        <w:t>Тетяна Миколаївна</w:t>
      </w:r>
      <w:r w:rsidRPr="009E40F8">
        <w:rPr>
          <w:b/>
          <w:i/>
          <w:sz w:val="28"/>
          <w:szCs w:val="28"/>
          <w:lang w:val="uk-UA"/>
        </w:rPr>
        <w:t xml:space="preserve"> </w:t>
      </w:r>
      <w:r w:rsidRPr="003C6F0F">
        <w:rPr>
          <w:b/>
          <w:i/>
          <w:sz w:val="28"/>
          <w:szCs w:val="28"/>
          <w:lang w:val="uk-UA"/>
        </w:rPr>
        <w:t>Дрокіна</w:t>
      </w:r>
    </w:p>
    <w:p w:rsidR="00346D87" w:rsidRPr="003C6F0F" w:rsidRDefault="00346D87" w:rsidP="00346D87">
      <w:pPr>
        <w:ind w:firstLine="720"/>
        <w:jc w:val="right"/>
        <w:rPr>
          <w:bCs/>
          <w:i/>
          <w:sz w:val="28"/>
          <w:szCs w:val="28"/>
          <w:lang w:val="uk-UA"/>
        </w:rPr>
      </w:pPr>
      <w:r w:rsidRPr="003C6F0F">
        <w:rPr>
          <w:bCs/>
          <w:i/>
          <w:sz w:val="28"/>
          <w:szCs w:val="28"/>
          <w:lang w:val="uk-UA"/>
        </w:rPr>
        <w:t>магістрантка І року навчання за спеціальністю</w:t>
      </w:r>
    </w:p>
    <w:p w:rsidR="00346D87" w:rsidRPr="003C6F0F" w:rsidRDefault="00346D87" w:rsidP="00346D87">
      <w:pPr>
        <w:ind w:firstLine="720"/>
        <w:jc w:val="right"/>
        <w:rPr>
          <w:bCs/>
          <w:i/>
          <w:sz w:val="28"/>
          <w:szCs w:val="28"/>
          <w:lang w:val="uk-UA"/>
        </w:rPr>
      </w:pPr>
      <w:r w:rsidRPr="003C6F0F">
        <w:rPr>
          <w:bCs/>
          <w:i/>
          <w:sz w:val="28"/>
          <w:szCs w:val="28"/>
          <w:lang w:val="uk-UA"/>
        </w:rPr>
        <w:t xml:space="preserve"> «Середня освіта. Географія»,</w:t>
      </w:r>
    </w:p>
    <w:p w:rsidR="00346D87" w:rsidRPr="003C6F0F" w:rsidRDefault="00346D87" w:rsidP="00346D87">
      <w:pPr>
        <w:ind w:firstLine="720"/>
        <w:jc w:val="right"/>
        <w:rPr>
          <w:bCs/>
          <w:i/>
          <w:sz w:val="28"/>
          <w:szCs w:val="28"/>
          <w:lang w:val="uk-UA"/>
        </w:rPr>
      </w:pPr>
      <w:r w:rsidRPr="003C6F0F">
        <w:rPr>
          <w:bCs/>
          <w:i/>
          <w:sz w:val="28"/>
          <w:szCs w:val="28"/>
          <w:lang w:val="uk-UA"/>
        </w:rPr>
        <w:t>Харківський національний педагогічний університет</w:t>
      </w:r>
    </w:p>
    <w:p w:rsidR="00346D87" w:rsidRPr="003C6F0F" w:rsidRDefault="00346D87" w:rsidP="00346D87">
      <w:pPr>
        <w:ind w:firstLine="720"/>
        <w:jc w:val="right"/>
        <w:rPr>
          <w:bCs/>
          <w:i/>
          <w:sz w:val="28"/>
          <w:szCs w:val="28"/>
          <w:lang w:val="uk-UA"/>
        </w:rPr>
      </w:pPr>
      <w:r w:rsidRPr="003C6F0F">
        <w:rPr>
          <w:bCs/>
          <w:i/>
          <w:sz w:val="28"/>
          <w:szCs w:val="28"/>
          <w:lang w:val="uk-UA"/>
        </w:rPr>
        <w:t xml:space="preserve"> імені Г.С. Сковороди,</w:t>
      </w:r>
    </w:p>
    <w:p w:rsidR="00346D87" w:rsidRPr="003C6F0F" w:rsidRDefault="00346D87" w:rsidP="00346D87">
      <w:pPr>
        <w:ind w:firstLine="720"/>
        <w:jc w:val="right"/>
        <w:rPr>
          <w:b/>
          <w:bCs/>
          <w:i/>
          <w:sz w:val="28"/>
          <w:szCs w:val="28"/>
          <w:lang w:val="uk-UA"/>
        </w:rPr>
      </w:pPr>
      <w:r w:rsidRPr="003C6F0F">
        <w:rPr>
          <w:bCs/>
          <w:i/>
          <w:sz w:val="28"/>
          <w:szCs w:val="28"/>
          <w:lang w:val="uk-UA"/>
        </w:rPr>
        <w:t>м. Харків</w:t>
      </w:r>
    </w:p>
    <w:p w:rsidR="00346D87" w:rsidRPr="003C6F0F" w:rsidRDefault="00346D87" w:rsidP="00346D87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lang w:val="uk-UA"/>
        </w:rPr>
      </w:pPr>
      <w:r w:rsidRPr="003C6F0F">
        <w:rPr>
          <w:b/>
          <w:sz w:val="28"/>
          <w:szCs w:val="28"/>
        </w:rPr>
        <w:t>КУЛЬТУРНО-</w:t>
      </w:r>
      <w:r w:rsidRPr="003C6F0F">
        <w:rPr>
          <w:b/>
          <w:sz w:val="28"/>
          <w:szCs w:val="28"/>
          <w:lang w:val="uk-UA"/>
        </w:rPr>
        <w:t>І</w:t>
      </w:r>
      <w:r w:rsidRPr="003C6F0F">
        <w:rPr>
          <w:b/>
          <w:sz w:val="28"/>
          <w:szCs w:val="28"/>
        </w:rPr>
        <w:t>СТОРИЧН</w:t>
      </w:r>
      <w:r w:rsidRPr="003C6F0F">
        <w:rPr>
          <w:b/>
          <w:sz w:val="28"/>
          <w:szCs w:val="28"/>
          <w:lang w:val="uk-UA"/>
        </w:rPr>
        <w:t>І</w:t>
      </w:r>
      <w:r w:rsidRPr="003C6F0F">
        <w:rPr>
          <w:b/>
          <w:sz w:val="28"/>
          <w:szCs w:val="28"/>
        </w:rPr>
        <w:t xml:space="preserve"> РЕСУРСИ ПОЛТАВЩИНИ</w:t>
      </w:r>
    </w:p>
    <w:p w:rsidR="00346D87" w:rsidRPr="003C6F0F" w:rsidRDefault="00346D87" w:rsidP="00346D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ab/>
        <w:t>Географи виділяють</w:t>
      </w:r>
      <w:r w:rsidRPr="003C6F0F">
        <w:rPr>
          <w:sz w:val="28"/>
          <w:szCs w:val="28"/>
        </w:rPr>
        <w:t xml:space="preserve"> три типи рекреаційно</w:t>
      </w:r>
      <w:r w:rsidRPr="003C6F0F">
        <w:rPr>
          <w:sz w:val="28"/>
          <w:szCs w:val="28"/>
          <w:lang w:val="uk-UA"/>
        </w:rPr>
        <w:t>-</w:t>
      </w:r>
      <w:r w:rsidRPr="003C6F0F">
        <w:rPr>
          <w:sz w:val="28"/>
          <w:szCs w:val="28"/>
        </w:rPr>
        <w:t>туристичних ресурсів</w:t>
      </w:r>
      <w:r w:rsidRPr="003C6F0F">
        <w:rPr>
          <w:sz w:val="28"/>
          <w:szCs w:val="28"/>
          <w:lang w:val="uk-UA"/>
        </w:rPr>
        <w:t xml:space="preserve">: </w:t>
      </w:r>
      <w:r w:rsidRPr="003C6F0F">
        <w:rPr>
          <w:sz w:val="28"/>
          <w:szCs w:val="28"/>
        </w:rPr>
        <w:t>історико-культурні</w:t>
      </w:r>
      <w:r w:rsidRPr="003C6F0F">
        <w:rPr>
          <w:sz w:val="28"/>
          <w:szCs w:val="28"/>
          <w:lang w:val="uk-UA"/>
        </w:rPr>
        <w:t>, природні</w:t>
      </w:r>
      <w:r w:rsidRPr="003C6F0F">
        <w:rPr>
          <w:sz w:val="28"/>
          <w:szCs w:val="28"/>
        </w:rPr>
        <w:t xml:space="preserve"> та соціально</w:t>
      </w:r>
      <w:r w:rsidRPr="003C6F0F">
        <w:rPr>
          <w:sz w:val="28"/>
          <w:szCs w:val="28"/>
          <w:lang w:val="uk-UA"/>
        </w:rPr>
        <w:t>-</w:t>
      </w:r>
      <w:r w:rsidRPr="003C6F0F">
        <w:rPr>
          <w:sz w:val="28"/>
          <w:szCs w:val="28"/>
        </w:rPr>
        <w:t xml:space="preserve">економічні [2]. </w:t>
      </w:r>
      <w:r w:rsidRPr="003C6F0F">
        <w:rPr>
          <w:sz w:val="28"/>
          <w:szCs w:val="28"/>
          <w:lang w:val="uk-UA"/>
        </w:rPr>
        <w:t>Вчені А.В. Степаненко та Я.Б.Олійник у своїй праці доводять, що культурно-історичні рекреаційні ресурси представляють історичне та культурне минуле країни, музеї, пам’ятники і пам’ятні місця</w:t>
      </w:r>
      <w:r w:rsidRPr="003C6F0F">
        <w:rPr>
          <w:sz w:val="28"/>
          <w:szCs w:val="28"/>
        </w:rPr>
        <w:t xml:space="preserve"> </w:t>
      </w:r>
      <w:r w:rsidRPr="003C6F0F">
        <w:rPr>
          <w:sz w:val="28"/>
          <w:szCs w:val="28"/>
          <w:lang w:val="uk-UA"/>
        </w:rPr>
        <w:t>та пов’язані з головними історичними подіями в житті народу, його культурою і побутом, життям і діяльністю видатних представників науки, техніки, культури, а також унікальними архітектурними та етнографічними об’єктами [3].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lastRenderedPageBreak/>
        <w:t>Полтавщина є надзвичайно перспективною в галузі культурно-історичного туризму. Вона входить у десятку найпопулярніших областей України за рейтингом відомих брендів та місць відпочинку [1].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Полтавська область розташована в центральній частині Лівобережної України. </w:t>
      </w:r>
      <w:r>
        <w:rPr>
          <w:sz w:val="28"/>
          <w:szCs w:val="28"/>
          <w:lang w:val="uk-UA"/>
        </w:rPr>
        <w:t>У п</w:t>
      </w:r>
      <w:r w:rsidRPr="003C6F0F">
        <w:rPr>
          <w:sz w:val="28"/>
          <w:szCs w:val="28"/>
          <w:lang w:val="uk-UA"/>
        </w:rPr>
        <w:t>івнічн</w:t>
      </w:r>
      <w:r>
        <w:rPr>
          <w:sz w:val="28"/>
          <w:szCs w:val="28"/>
          <w:lang w:val="uk-UA"/>
        </w:rPr>
        <w:t>их</w:t>
      </w:r>
      <w:r w:rsidRPr="003C6F0F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ах</w:t>
      </w:r>
      <w:r w:rsidRPr="003C6F0F">
        <w:rPr>
          <w:sz w:val="28"/>
          <w:szCs w:val="28"/>
          <w:lang w:val="uk-UA"/>
        </w:rPr>
        <w:t xml:space="preserve"> області </w:t>
      </w:r>
      <w:r>
        <w:rPr>
          <w:sz w:val="28"/>
          <w:szCs w:val="28"/>
          <w:lang w:val="uk-UA"/>
        </w:rPr>
        <w:t>поширений</w:t>
      </w:r>
      <w:r w:rsidRPr="003C6F0F">
        <w:rPr>
          <w:sz w:val="28"/>
          <w:szCs w:val="28"/>
          <w:lang w:val="uk-UA"/>
        </w:rPr>
        <w:t xml:space="preserve"> лісостеп, </w:t>
      </w:r>
      <w:r>
        <w:rPr>
          <w:sz w:val="28"/>
          <w:szCs w:val="28"/>
          <w:lang w:val="uk-UA"/>
        </w:rPr>
        <w:t xml:space="preserve">у </w:t>
      </w:r>
      <w:r w:rsidRPr="003C6F0F">
        <w:rPr>
          <w:sz w:val="28"/>
          <w:szCs w:val="28"/>
          <w:lang w:val="uk-UA"/>
        </w:rPr>
        <w:t>південн</w:t>
      </w:r>
      <w:r>
        <w:rPr>
          <w:sz w:val="28"/>
          <w:szCs w:val="28"/>
          <w:lang w:val="uk-UA"/>
        </w:rPr>
        <w:t>их</w:t>
      </w:r>
      <w:r w:rsidRPr="003C6F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C6F0F">
        <w:rPr>
          <w:sz w:val="28"/>
          <w:szCs w:val="28"/>
          <w:lang w:val="uk-UA"/>
        </w:rPr>
        <w:t>степ. Площа області становить 28,8 тис. кв. км. (4,8% території України).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CF0E4"/>
          <w:lang w:val="uk-UA"/>
        </w:rPr>
      </w:pPr>
      <w:r w:rsidRPr="003C6F0F">
        <w:rPr>
          <w:sz w:val="28"/>
          <w:szCs w:val="28"/>
          <w:lang w:val="uk-UA"/>
        </w:rPr>
        <w:t>Важливим культурно-рекреаційним ресурсом області є унікальне культурне середовище. Його унікальність пов’язана із етнічним складом населення (згідно з переписом населення 2001 р. – 87,6% складають українці), традиційною культурою, мовою та національною кухнею Полтавщини [4].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На Полтавщині збереглися такі давні народні промисли, як вишивання і килимарство, виготовлення лозяних виробів (Чорнухи). Історія художньої вишивки на Полтавщині налічує кілька століть. Широко відомими є полтавські мережки і техніка вишивання «білим по білому». Одним із центрів вишивання є селище Решетилівка, де виготовляються орнаментальні килими.</w:t>
      </w:r>
      <w:r>
        <w:rPr>
          <w:sz w:val="28"/>
          <w:szCs w:val="28"/>
          <w:lang w:val="uk-UA"/>
        </w:rPr>
        <w:t xml:space="preserve"> </w:t>
      </w:r>
      <w:r w:rsidRPr="003C6F0F">
        <w:rPr>
          <w:sz w:val="28"/>
          <w:szCs w:val="28"/>
          <w:lang w:val="uk-UA"/>
        </w:rPr>
        <w:t>В селищі Опішня, давньому центрі гончарного промислу, створено музей-заповідник українського гончарства. Тут є фабрика художньої кераміки</w:t>
      </w:r>
      <w:r w:rsidRPr="00396997">
        <w:rPr>
          <w:sz w:val="28"/>
          <w:szCs w:val="28"/>
        </w:rPr>
        <w:t>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Полтавська область має цікаву й неповторну історію. На Полтавщині велика кількість музеїв </w:t>
      </w:r>
      <w:r>
        <w:rPr>
          <w:sz w:val="28"/>
          <w:szCs w:val="28"/>
          <w:lang w:val="uk-UA"/>
        </w:rPr>
        <w:t>–</w:t>
      </w:r>
      <w:r w:rsidRPr="003C6F0F">
        <w:rPr>
          <w:sz w:val="28"/>
          <w:szCs w:val="28"/>
          <w:lang w:val="uk-UA"/>
        </w:rPr>
        <w:t xml:space="preserve"> державних і громадських. Загальна чисельність експонатів усіх категорій музеїв становить близько 700 тис. одиниць збереження; 24 пам’ятки архітектури загальнодержавного значення; близько 50 пам’яток археології скіфсько-сарматського часу (</w:t>
      </w:r>
      <w:r w:rsidRPr="003C6F0F">
        <w:rPr>
          <w:sz w:val="28"/>
          <w:szCs w:val="28"/>
        </w:rPr>
        <w:t>V</w:t>
      </w:r>
      <w:r w:rsidRPr="003C6F0F">
        <w:rPr>
          <w:sz w:val="28"/>
          <w:szCs w:val="28"/>
          <w:lang w:val="uk-UA"/>
        </w:rPr>
        <w:t>ІІ-ІІІ ст. до н.е.), понад 70 пам’яток черняхівської (ІІ-І</w:t>
      </w:r>
      <w:r w:rsidRPr="003C6F0F">
        <w:rPr>
          <w:sz w:val="28"/>
          <w:szCs w:val="28"/>
        </w:rPr>
        <w:t>V</w:t>
      </w:r>
      <w:r w:rsidRPr="003C6F0F">
        <w:rPr>
          <w:sz w:val="28"/>
          <w:szCs w:val="28"/>
          <w:lang w:val="uk-UA"/>
        </w:rPr>
        <w:t xml:space="preserve"> ст.) і роменської культур (</w:t>
      </w:r>
      <w:r w:rsidRPr="003C6F0F">
        <w:rPr>
          <w:sz w:val="28"/>
          <w:szCs w:val="28"/>
        </w:rPr>
        <w:t>V</w:t>
      </w:r>
      <w:r w:rsidRPr="003C6F0F">
        <w:rPr>
          <w:sz w:val="28"/>
          <w:szCs w:val="28"/>
          <w:lang w:val="uk-UA"/>
        </w:rPr>
        <w:t>ІІІ-Х ст.).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</w:rPr>
        <w:t xml:space="preserve">Багату історію краю дбайливо збережено для нащадків. Своїми зібраннями виділяються Полтавський та Кременчуцький краєзнавчі музеї, Державний історико-культурний заповідник </w:t>
      </w:r>
      <w:r w:rsidRPr="003C6F0F">
        <w:rPr>
          <w:sz w:val="28"/>
          <w:szCs w:val="28"/>
          <w:lang w:val="uk-UA"/>
        </w:rPr>
        <w:t>«</w:t>
      </w:r>
      <w:r w:rsidRPr="003C6F0F">
        <w:rPr>
          <w:sz w:val="28"/>
          <w:szCs w:val="28"/>
        </w:rPr>
        <w:t>Поле Полтавської битви</w:t>
      </w:r>
      <w:r w:rsidRPr="003C6F0F">
        <w:rPr>
          <w:sz w:val="28"/>
          <w:szCs w:val="28"/>
          <w:lang w:val="uk-UA"/>
        </w:rPr>
        <w:t>»</w:t>
      </w:r>
      <w:r w:rsidRPr="003C6F0F">
        <w:rPr>
          <w:sz w:val="28"/>
          <w:szCs w:val="28"/>
        </w:rPr>
        <w:t xml:space="preserve">, Державний музей-заповідник українського гончарства в Опішні, Полтавський художній музей. 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</w:rPr>
      </w:pPr>
      <w:r w:rsidRPr="003C6F0F">
        <w:rPr>
          <w:sz w:val="28"/>
          <w:szCs w:val="28"/>
        </w:rPr>
        <w:lastRenderedPageBreak/>
        <w:t>На Полтавщині діє 15 державних музеїв. На державному обліку перебуває 3600 пам'яток історії і культури. 199 пам'яток архітектури внесено до Державного реєстру національного культурного надбання.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Туристи, які цікавляться життям та діяльністю видатних уроженців Полтавщини, мають можливість відвідати літературно-меморіальні музеї І.П. Котляревського, Панаса Мирного, Г.С. Сковороди у смт. </w:t>
      </w:r>
      <w:r w:rsidRPr="003C6F0F">
        <w:rPr>
          <w:sz w:val="28"/>
          <w:szCs w:val="28"/>
        </w:rPr>
        <w:t>Чорнухи, Олеся Гончара у с. Суха Кобеляцького району</w:t>
      </w:r>
      <w:r w:rsidRPr="003C6F0F">
        <w:rPr>
          <w:sz w:val="28"/>
          <w:szCs w:val="28"/>
          <w:lang w:val="uk-UA"/>
        </w:rPr>
        <w:t xml:space="preserve">, </w:t>
      </w:r>
      <w:r w:rsidRPr="003C6F0F">
        <w:rPr>
          <w:sz w:val="28"/>
          <w:szCs w:val="28"/>
        </w:rPr>
        <w:t>В.Г. Короленка у м. Полтава, заповідник-музей М.В. Гоголя у с. Гоголеве Шишацького району та літературно-меморіальний музей письменника у славнозвісних Великих Сорочинцях на Миргородщині [5].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Для тих, хто хоче відчути себе у творах М. Гоголя є хутір Проні неподалік Диканьки. Хутір є унікальним історико-культурним комплексом, який немов би пропитаний атмосферою Х</w:t>
      </w:r>
      <w:r w:rsidRPr="003C6F0F">
        <w:rPr>
          <w:sz w:val="28"/>
          <w:szCs w:val="28"/>
          <w:lang w:val="en-US"/>
        </w:rPr>
        <w:t>VIII</w:t>
      </w:r>
      <w:r w:rsidRPr="003C6F0F">
        <w:rPr>
          <w:sz w:val="28"/>
          <w:szCs w:val="28"/>
        </w:rPr>
        <w:t>-</w:t>
      </w:r>
      <w:r w:rsidRPr="003C6F0F">
        <w:rPr>
          <w:sz w:val="28"/>
          <w:szCs w:val="28"/>
          <w:lang w:val="uk-UA"/>
        </w:rPr>
        <w:t>ХІХ століття. Там є декілька старовинних хат, став, господарство, кузня, а також заклад громадського харчування «Шинок», де можна скуштувати національних українських страв.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Найпопулярнішим та найстарішим в області є Полтавський краєзнавчий музей. Музею понад ста років (заснований у 1891 р.). Його діяльність спрямована на відродження, утвердження й плідний розвиток історичних надбань опішнянського гончарства, організацію навчання і практичної роботи талановитої художньої молоді, докорінне поліпшення технології місцевого гончарного виробництва, зміцнення матеріально-технічної бази промислу, налагодження мережі збуту гончарних виробів, популяризації мистецтва кераміки та творчості гончарів і малювальниць.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У місті Полтава діє музей авіації та космонавтики. Головним завданням цього музею є увічнення пам’яті та популяризація творчої спадщини видатних учених, конструкторів, організаторів та спеціалістів у галузі ракетобудування, повітроплавання, авіації та космонавтики, народженням або життям і діяльністю пов’язаних з Полтавщиною </w:t>
      </w:r>
      <w:r>
        <w:rPr>
          <w:sz w:val="28"/>
          <w:szCs w:val="28"/>
          <w:lang w:val="uk-UA"/>
        </w:rPr>
        <w:t>–</w:t>
      </w:r>
      <w:r w:rsidRPr="003C6F0F">
        <w:rPr>
          <w:sz w:val="28"/>
          <w:szCs w:val="28"/>
          <w:lang w:val="uk-UA"/>
        </w:rPr>
        <w:t xml:space="preserve"> О.Д. Засядька, Ю.В. Кондратюка, О.М. Кованька, </w:t>
      </w:r>
      <w:r w:rsidRPr="003C6F0F">
        <w:rPr>
          <w:sz w:val="28"/>
          <w:szCs w:val="28"/>
          <w:lang w:val="uk-UA"/>
        </w:rPr>
        <w:lastRenderedPageBreak/>
        <w:t>братів Кас’яненків, Ю.А.Побєдоносцева, В.М. Челомея, М.А. Комарницького, Г.Є. Котельникова та багатьох інших [1].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Історико-культурний заповідник «Поле Полтавської битви» складається з музея історії цієї визначної події, польового укріпленого табору російської армії, редути, братської могили російських воїнів, а також Сампсоніївської церкви (1856 p.), пам'ятника загиблим шведським солдатам від росіян (1909 p.), пам'ятника шведам від співвітчизників (1909 p.), пам'ятника Петру І (1915 p.).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У місті Гадячі розташована садиба Драгоманових, яка оголошена державним заповідником. Садиба була заснована в кінці ХІХ ст. гадяцьким міщанином. 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Окрасою міста Полтава є архітектурний ансамбль полтавської Круглої площі. На площі розташований пам’ятник «Слави», який було відкрито у 1811 р. Від пам’ятника прокладена радіальна система розбивки вулиць, кожна із яких колись була спрямована у</w:t>
      </w:r>
      <w:r>
        <w:rPr>
          <w:sz w:val="28"/>
          <w:szCs w:val="28"/>
          <w:lang w:val="uk-UA"/>
        </w:rPr>
        <w:t xml:space="preserve"> </w:t>
      </w:r>
      <w:r w:rsidRPr="003C6F0F">
        <w:rPr>
          <w:sz w:val="28"/>
          <w:szCs w:val="28"/>
          <w:lang w:val="uk-UA"/>
        </w:rPr>
        <w:t>напрямку головних містобудівних домінант ст</w:t>
      </w:r>
      <w:r>
        <w:rPr>
          <w:sz w:val="28"/>
          <w:szCs w:val="28"/>
          <w:lang w:val="uk-UA"/>
        </w:rPr>
        <w:t>арої Полтави, переважно церков.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Мешканці міста не уявляють Полтави без Білої Альтанки, яка нагадує полтавцям, що</w:t>
      </w:r>
      <w:r w:rsidRPr="003C6F0F">
        <w:rPr>
          <w:sz w:val="28"/>
          <w:szCs w:val="28"/>
        </w:rPr>
        <w:t> </w:t>
      </w:r>
      <w:r w:rsidRPr="003C6F0F">
        <w:rPr>
          <w:sz w:val="28"/>
          <w:szCs w:val="28"/>
          <w:lang w:val="uk-UA"/>
        </w:rPr>
        <w:t>саме тут на</w:t>
      </w:r>
      <w:r w:rsidRPr="003C6F0F">
        <w:rPr>
          <w:sz w:val="28"/>
          <w:szCs w:val="28"/>
        </w:rPr>
        <w:t> </w:t>
      </w:r>
      <w:r w:rsidRPr="003C6F0F">
        <w:rPr>
          <w:sz w:val="28"/>
          <w:szCs w:val="28"/>
          <w:lang w:val="uk-UA"/>
        </w:rPr>
        <w:t>другий день після Полтавської битви відбулась зустріч ремісників міста з</w:t>
      </w:r>
      <w:r w:rsidRPr="003C6F0F">
        <w:rPr>
          <w:sz w:val="28"/>
          <w:szCs w:val="28"/>
        </w:rPr>
        <w:t> </w:t>
      </w:r>
      <w:r w:rsidRPr="003C6F0F">
        <w:rPr>
          <w:sz w:val="28"/>
          <w:szCs w:val="28"/>
          <w:lang w:val="uk-UA"/>
        </w:rPr>
        <w:t>царем Петром І. Альтанка має підковоподібну форму. Згідно легенди, царській кінь втратив підкову під час Полтавської битви, але місцевий коваль на</w:t>
      </w:r>
      <w:r w:rsidRPr="003C6F0F">
        <w:rPr>
          <w:sz w:val="28"/>
          <w:szCs w:val="28"/>
        </w:rPr>
        <w:t> </w:t>
      </w:r>
      <w:r w:rsidRPr="003C6F0F">
        <w:rPr>
          <w:sz w:val="28"/>
          <w:szCs w:val="28"/>
          <w:lang w:val="uk-UA"/>
        </w:rPr>
        <w:t>цій площі швидко його підкував. Ця</w:t>
      </w:r>
      <w:r w:rsidRPr="003C6F0F">
        <w:rPr>
          <w:sz w:val="28"/>
          <w:szCs w:val="28"/>
        </w:rPr>
        <w:t> </w:t>
      </w:r>
      <w:r w:rsidRPr="003C6F0F">
        <w:rPr>
          <w:sz w:val="28"/>
          <w:szCs w:val="28"/>
          <w:lang w:val="uk-UA"/>
        </w:rPr>
        <w:t>легенда обумовила зовнішній вид споруди.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У 1762 р. на Полтавщині була збудована Вознесенська церква, яка є унікальною пам’яткою монументальної мурованої архітектури ХVIII століття. Це єдиний на Полтавщині зразок класичного безбаштового тетраконха (без виділеного в об’ємах центрального четверика).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 xml:space="preserve">Хрестовоздвиженський монастир був заснований у 1650 році з нагоди нам’яті про перші перемоги зброї гетьмана Богдана Хмельницького над поляками під Жовтими Водами та Пилявцями, учасниками якої були і козаки Полтавського </w:t>
      </w:r>
      <w:r w:rsidRPr="003C6F0F">
        <w:rPr>
          <w:sz w:val="28"/>
          <w:szCs w:val="28"/>
          <w:lang w:val="uk-UA"/>
        </w:rPr>
        <w:lastRenderedPageBreak/>
        <w:t>полку. В наш час монастирський комплекс складається з Хрестовоздвиженського собору, дзвіниці, Свято-Троїцького храму та Симеона Богоприїмця, та є одним із найпопулярніших туристсько-екскурсійних об’єктів міста з величезним потенціалом для розвитку паломницького туризму.</w:t>
      </w:r>
    </w:p>
    <w:p w:rsidR="00346D87" w:rsidRPr="003C6F0F" w:rsidRDefault="00346D87" w:rsidP="00346D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2002 року за ініціативою міської влади та жіночої релігійної громади Полтави було побудовано храм на честь великомучениць Віри, Надії, Любові та їх матері Софії. Храм побудований у стилі класицизму. Декоративні бані-дзвони містять сім дзвонив</w:t>
      </w:r>
      <w:r w:rsidRPr="00396997">
        <w:rPr>
          <w:sz w:val="28"/>
          <w:szCs w:val="28"/>
        </w:rPr>
        <w:t xml:space="preserve"> [1]</w:t>
      </w:r>
      <w:r w:rsidRPr="003C6F0F">
        <w:rPr>
          <w:sz w:val="28"/>
          <w:szCs w:val="28"/>
          <w:lang w:val="uk-UA"/>
        </w:rPr>
        <w:t>.</w:t>
      </w:r>
    </w:p>
    <w:p w:rsidR="00346D87" w:rsidRPr="003C6F0F" w:rsidRDefault="00346D87" w:rsidP="00346D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6F0F">
        <w:rPr>
          <w:sz w:val="28"/>
          <w:szCs w:val="28"/>
          <w:lang w:val="uk-UA"/>
        </w:rPr>
        <w:t>Полтавська область дуже привабливий туристично-рекреаційний регіон, розташований в центральній частині Лівобережної України. Полтавщина має сприятливу для розвитку туризму розгалужену транспортну мережу. Становлення туризму в області, як високорентабельної галузі економіки, важливого засобу культурного і духовного розвитку громадян набуває дедалі більшого значення для підвищення якості їх життя, утворення додаткових робочих місць, збільшення валютних надходжень області, підвищення її авторитету в Україні. Розвиток туризму в області істотно впливає на такі сектори економіки, як будівництво, сільське господарство, виробництво товарів широкого вжитку і має за мету забезпечити в нових умовах ринкової економіки.</w:t>
      </w:r>
    </w:p>
    <w:p w:rsidR="00346D87" w:rsidRPr="003C6F0F" w:rsidRDefault="00346D87" w:rsidP="00346D87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3C6F0F">
        <w:rPr>
          <w:i/>
          <w:sz w:val="28"/>
          <w:szCs w:val="28"/>
          <w:lang w:val="uk-UA"/>
        </w:rPr>
        <w:t>Література:</w:t>
      </w:r>
    </w:p>
    <w:p w:rsidR="00346D87" w:rsidRPr="003C6F0F" w:rsidRDefault="00346D87" w:rsidP="00346D87">
      <w:pPr>
        <w:spacing w:line="360" w:lineRule="auto"/>
        <w:jc w:val="both"/>
        <w:rPr>
          <w:lang w:val="uk-UA"/>
        </w:rPr>
      </w:pPr>
      <w:r w:rsidRPr="003C6F0F">
        <w:rPr>
          <w:lang w:val="uk-UA"/>
        </w:rPr>
        <w:t>1. Здобутки туристичної галузі Полтавщини напередодні відзначення 20 річниці незалежності України [Електронний ресурс] / Відділ з питань туризму і курортів Полтавської обласної державної адміністрації. - 2011 [Електронний ресурс]. - Режим доступу: </w:t>
      </w:r>
      <w:hyperlink r:id="rId9" w:tgtFrame="_blank" w:history="1">
        <w:r w:rsidRPr="003C6F0F">
          <w:rPr>
            <w:lang w:val="uk-UA"/>
          </w:rPr>
          <w:t>http://poltava-tour.gov.ua/ua/publication/content/753.htm</w:t>
        </w:r>
      </w:hyperlink>
      <w:r w:rsidRPr="003C6F0F">
        <w:rPr>
          <w:lang w:val="uk-UA"/>
        </w:rPr>
        <w:t>. </w:t>
      </w:r>
    </w:p>
    <w:p w:rsidR="00346D87" w:rsidRPr="003C6F0F" w:rsidRDefault="00346D87" w:rsidP="00346D87">
      <w:pPr>
        <w:spacing w:line="360" w:lineRule="auto"/>
        <w:rPr>
          <w:lang w:val="uk-UA"/>
        </w:rPr>
      </w:pPr>
      <w:r w:rsidRPr="003C6F0F">
        <w:rPr>
          <w:lang w:val="uk-UA"/>
        </w:rPr>
        <w:t xml:space="preserve">2.Мацола В.І. Рекреаційно – туристичний комплекс України: Монографія (Ін-т регіональних досліджень НАН України; Редкол.: М.І. Долішній (відп. ред.). – Львів, 1997. – 259 с. </w:t>
      </w:r>
    </w:p>
    <w:p w:rsidR="00346D87" w:rsidRPr="003C6F0F" w:rsidRDefault="00346D87" w:rsidP="00346D87">
      <w:pPr>
        <w:spacing w:line="360" w:lineRule="auto"/>
        <w:rPr>
          <w:lang w:val="uk-UA"/>
        </w:rPr>
      </w:pPr>
      <w:r w:rsidRPr="003C6F0F">
        <w:rPr>
          <w:lang w:val="uk-UA"/>
        </w:rPr>
        <w:t xml:space="preserve">3. Муромцева Ю. І. Проблеми розвитку туристичної галузі в Україні. Вітчизняна географічна наука: теорія і практика </w:t>
      </w:r>
      <w:r w:rsidRPr="003C6F0F">
        <w:t>//</w:t>
      </w:r>
      <w:r w:rsidRPr="003C6F0F">
        <w:rPr>
          <w:lang w:val="uk-UA"/>
        </w:rPr>
        <w:t xml:space="preserve"> Матеріали заочної науково-практичної інтернет-конференції ХНПУ ім. Г.С. Сковороди C. 47-51.</w:t>
      </w:r>
    </w:p>
    <w:p w:rsidR="00346D87" w:rsidRPr="003C6F0F" w:rsidRDefault="00346D87" w:rsidP="00346D87">
      <w:pPr>
        <w:spacing w:line="360" w:lineRule="auto"/>
        <w:rPr>
          <w:lang w:val="uk-UA"/>
        </w:rPr>
      </w:pPr>
      <w:r w:rsidRPr="003C6F0F">
        <w:rPr>
          <w:lang w:val="uk-UA"/>
        </w:rPr>
        <w:lastRenderedPageBreak/>
        <w:t>4. Олійник Я.Б., Степаненко А.В. Теоретичні основи туризмології: Навчальний посібник для студентів вищих навчальних закладів. – К.: Ніка-Центр, 2005. – 316 с.</w:t>
      </w:r>
    </w:p>
    <w:p w:rsidR="00346D87" w:rsidRPr="003C6F0F" w:rsidRDefault="00346D87" w:rsidP="00346D87">
      <w:pPr>
        <w:spacing w:line="360" w:lineRule="auto"/>
        <w:rPr>
          <w:lang w:val="uk-UA"/>
        </w:rPr>
      </w:pPr>
      <w:r w:rsidRPr="003C6F0F">
        <w:rPr>
          <w:lang w:val="uk-UA"/>
        </w:rPr>
        <w:t>5.Панкова Є.В. Туристичне краєзнавство: Навчальний посібник. – К.: Альтерпрес, 2003. – 352 с.</w:t>
      </w:r>
    </w:p>
    <w:p w:rsidR="00346D87" w:rsidRPr="003C6F0F" w:rsidRDefault="00346D87" w:rsidP="00346D87">
      <w:pPr>
        <w:spacing w:line="360" w:lineRule="auto"/>
      </w:pPr>
      <w:r w:rsidRPr="003C6F0F">
        <w:rPr>
          <w:lang w:val="uk-UA"/>
        </w:rPr>
        <w:t>6.</w:t>
      </w:r>
      <w:r w:rsidRPr="003C6F0F">
        <w:t>Шаптала О.: "Курортно-рекреаційна система України: шляхи формування, проблеми й перспективи розвитку" // Вісник Української Академії державного управління. - 2001. - № 4. - С.254-259</w:t>
      </w:r>
    </w:p>
    <w:p w:rsidR="00346D87" w:rsidRPr="003C6F0F" w:rsidRDefault="00346D87" w:rsidP="00346D87">
      <w:pPr>
        <w:spacing w:line="360" w:lineRule="auto"/>
        <w:rPr>
          <w:sz w:val="28"/>
          <w:szCs w:val="28"/>
          <w:lang w:val="uk-UA"/>
        </w:rPr>
      </w:pPr>
    </w:p>
    <w:p w:rsidR="00346D87" w:rsidRPr="003C6F0F" w:rsidRDefault="00346D87" w:rsidP="00346D87">
      <w:pPr>
        <w:spacing w:line="360" w:lineRule="auto"/>
        <w:rPr>
          <w:b/>
          <w:sz w:val="28"/>
          <w:szCs w:val="28"/>
        </w:rPr>
      </w:pPr>
      <w:r w:rsidRPr="003C6F0F">
        <w:rPr>
          <w:b/>
          <w:sz w:val="28"/>
          <w:szCs w:val="28"/>
        </w:rPr>
        <w:t>УДК 338.48:902:908(477)</w:t>
      </w:r>
    </w:p>
    <w:p w:rsidR="00346D87" w:rsidRPr="003C6F0F" w:rsidRDefault="00346D87" w:rsidP="00346D87">
      <w:pPr>
        <w:jc w:val="right"/>
        <w:rPr>
          <w:b/>
          <w:i/>
          <w:sz w:val="28"/>
          <w:szCs w:val="28"/>
          <w:lang w:val="uk-UA"/>
        </w:rPr>
      </w:pPr>
      <w:r w:rsidRPr="003C6F0F">
        <w:rPr>
          <w:b/>
          <w:i/>
          <w:sz w:val="28"/>
          <w:szCs w:val="28"/>
        </w:rPr>
        <w:t>Віталій Вікторович Мовчан</w:t>
      </w:r>
      <w:r w:rsidRPr="003C6F0F">
        <w:rPr>
          <w:b/>
          <w:i/>
          <w:sz w:val="28"/>
          <w:szCs w:val="28"/>
          <w:lang w:val="uk-UA"/>
        </w:rPr>
        <w:t>,</w:t>
      </w:r>
    </w:p>
    <w:p w:rsidR="00346D87" w:rsidRPr="003C6F0F" w:rsidRDefault="00346D87" w:rsidP="00346D87">
      <w:pPr>
        <w:jc w:val="right"/>
        <w:rPr>
          <w:i/>
          <w:sz w:val="28"/>
          <w:szCs w:val="28"/>
        </w:rPr>
      </w:pPr>
      <w:r w:rsidRPr="003C6F0F">
        <w:rPr>
          <w:i/>
          <w:sz w:val="28"/>
          <w:szCs w:val="28"/>
          <w:lang w:val="uk-UA"/>
        </w:rPr>
        <w:t>с</w:t>
      </w:r>
      <w:r w:rsidRPr="003C6F0F">
        <w:rPr>
          <w:i/>
          <w:sz w:val="28"/>
          <w:szCs w:val="28"/>
        </w:rPr>
        <w:t>тудент ІІІ курсу кафедри країнознавства та туризму</w:t>
      </w:r>
    </w:p>
    <w:p w:rsidR="00346D87" w:rsidRPr="003C6F0F" w:rsidRDefault="00346D87" w:rsidP="00346D87">
      <w:pPr>
        <w:jc w:val="right"/>
        <w:rPr>
          <w:i/>
          <w:sz w:val="28"/>
          <w:szCs w:val="28"/>
        </w:rPr>
      </w:pPr>
      <w:r w:rsidRPr="003C6F0F">
        <w:rPr>
          <w:i/>
          <w:sz w:val="28"/>
          <w:szCs w:val="28"/>
          <w:lang w:val="uk-UA"/>
        </w:rPr>
        <w:t>г</w:t>
      </w:r>
      <w:r w:rsidRPr="003C6F0F">
        <w:rPr>
          <w:i/>
          <w:sz w:val="28"/>
          <w:szCs w:val="28"/>
        </w:rPr>
        <w:t>еографічного факультету</w:t>
      </w:r>
    </w:p>
    <w:p w:rsidR="00346D87" w:rsidRPr="003C6F0F" w:rsidRDefault="00346D87" w:rsidP="00346D87">
      <w:pPr>
        <w:jc w:val="right"/>
        <w:rPr>
          <w:i/>
          <w:sz w:val="28"/>
          <w:szCs w:val="28"/>
        </w:rPr>
      </w:pPr>
      <w:r w:rsidRPr="003C6F0F">
        <w:rPr>
          <w:i/>
          <w:sz w:val="28"/>
          <w:szCs w:val="28"/>
        </w:rPr>
        <w:t>Київського національного університету імені Тараса Шевченка</w:t>
      </w:r>
    </w:p>
    <w:p w:rsidR="00346D87" w:rsidRPr="003C6F0F" w:rsidRDefault="00346D87" w:rsidP="00346D87">
      <w:pPr>
        <w:jc w:val="right"/>
        <w:rPr>
          <w:i/>
          <w:sz w:val="28"/>
          <w:szCs w:val="28"/>
        </w:rPr>
      </w:pPr>
      <w:r w:rsidRPr="003C6F0F">
        <w:rPr>
          <w:i/>
          <w:sz w:val="28"/>
          <w:szCs w:val="28"/>
        </w:rPr>
        <w:t xml:space="preserve">м. Київ, </w:t>
      </w:r>
    </w:p>
    <w:p w:rsidR="00346D87" w:rsidRPr="003C6F0F" w:rsidRDefault="00346D87" w:rsidP="00346D87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C6F0F">
        <w:rPr>
          <w:b/>
          <w:sz w:val="28"/>
          <w:szCs w:val="28"/>
        </w:rPr>
        <w:t>ПІДХОДИ ДО ВИКОРИСТАННЯ АРХЕОЛОГІЧНИХ ОБ</w:t>
      </w:r>
      <w:r w:rsidRPr="00396997">
        <w:rPr>
          <w:b/>
          <w:sz w:val="28"/>
          <w:szCs w:val="28"/>
        </w:rPr>
        <w:t>’</w:t>
      </w:r>
      <w:r w:rsidRPr="003C6F0F">
        <w:rPr>
          <w:b/>
          <w:sz w:val="28"/>
          <w:szCs w:val="28"/>
        </w:rPr>
        <w:t xml:space="preserve">ЄКТІВ У ТУРИЗМІ </w:t>
      </w:r>
    </w:p>
    <w:p w:rsidR="00346D87" w:rsidRPr="003C6F0F" w:rsidRDefault="00346D87" w:rsidP="00346D87">
      <w:pPr>
        <w:spacing w:line="360" w:lineRule="auto"/>
        <w:ind w:firstLine="709"/>
        <w:jc w:val="both"/>
        <w:rPr>
          <w:sz w:val="28"/>
          <w:szCs w:val="28"/>
        </w:rPr>
      </w:pPr>
      <w:r w:rsidRPr="003C6F0F">
        <w:rPr>
          <w:sz w:val="28"/>
          <w:szCs w:val="28"/>
        </w:rPr>
        <w:t>Археологічні туристичні ресурси мають велику інформаційну цінність, адже вони є важливим джерелом вивчення історичного минулого. Речові залишки людства є зразковим засобом розвитку особистості, тому їх доцільно використовувати у туристичній діяльності. Для покращення ситуації із залученням археологічних ресурсів України слід проаналізувати зарубіжний досвід. Із цією метою були виділені підходи до їх використання у туризмі.</w:t>
      </w:r>
    </w:p>
    <w:p w:rsidR="00346D87" w:rsidRPr="003C6F0F" w:rsidRDefault="00346D87" w:rsidP="00346D87">
      <w:pPr>
        <w:spacing w:line="360" w:lineRule="auto"/>
        <w:ind w:firstLine="709"/>
        <w:jc w:val="both"/>
        <w:rPr>
          <w:sz w:val="28"/>
          <w:szCs w:val="28"/>
        </w:rPr>
      </w:pPr>
      <w:r w:rsidRPr="003C6F0F">
        <w:rPr>
          <w:sz w:val="28"/>
          <w:szCs w:val="28"/>
        </w:rPr>
        <w:t xml:space="preserve">Першим є парково-заповідний підхід – організація археологічних туристичних ресурсів у спеціально обладнані ландшафтно-паркові зони, заповідники тощо, захищені державою, на території яких проводяться науково-дослідні роботи та туристична діяльність. Археологічні парки ефективно функціонують у закордонних державах. Як приклад можна згадати Гобустан — археологічний заповідник в Азербайджані, що у 2007 році отримав статус об'єкта Світової спадщини ЮНЕСКО </w:t>
      </w:r>
      <w:r w:rsidRPr="00396997">
        <w:rPr>
          <w:sz w:val="28"/>
          <w:szCs w:val="28"/>
        </w:rPr>
        <w:t>[6]</w:t>
      </w:r>
      <w:r w:rsidRPr="003C6F0F">
        <w:rPr>
          <w:sz w:val="28"/>
          <w:szCs w:val="28"/>
        </w:rPr>
        <w:t>.</w:t>
      </w:r>
      <w:bookmarkStart w:id="0" w:name="_GoBack"/>
      <w:bookmarkEnd w:id="0"/>
    </w:p>
    <w:sectPr w:rsidR="00346D87" w:rsidRPr="003C6F0F" w:rsidSect="00346D87">
      <w:footerReference w:type="default" r:id="rId10"/>
      <w:pgSz w:w="12240" w:h="15840"/>
      <w:pgMar w:top="1134" w:right="850" w:bottom="1134" w:left="1701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20" w:rsidRDefault="00875220" w:rsidP="00346D87">
      <w:r>
        <w:separator/>
      </w:r>
    </w:p>
  </w:endnote>
  <w:endnote w:type="continuationSeparator" w:id="0">
    <w:p w:rsidR="00875220" w:rsidRDefault="00875220" w:rsidP="003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531484"/>
      <w:docPartObj>
        <w:docPartGallery w:val="Page Numbers (Bottom of Page)"/>
        <w:docPartUnique/>
      </w:docPartObj>
    </w:sdtPr>
    <w:sdtContent>
      <w:p w:rsidR="00346D87" w:rsidRDefault="00346D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169</w:t>
        </w:r>
        <w:r>
          <w:fldChar w:fldCharType="end"/>
        </w:r>
      </w:p>
    </w:sdtContent>
  </w:sdt>
  <w:p w:rsidR="00346D87" w:rsidRDefault="00346D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20" w:rsidRDefault="00875220" w:rsidP="00346D87">
      <w:r>
        <w:separator/>
      </w:r>
    </w:p>
  </w:footnote>
  <w:footnote w:type="continuationSeparator" w:id="0">
    <w:p w:rsidR="00875220" w:rsidRDefault="00875220" w:rsidP="0034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F87"/>
    <w:multiLevelType w:val="hybridMultilevel"/>
    <w:tmpl w:val="0E8C6B3A"/>
    <w:lvl w:ilvl="0" w:tplc="B596E3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87"/>
    <w:rsid w:val="002064D5"/>
    <w:rsid w:val="00346D87"/>
    <w:rsid w:val="00875220"/>
    <w:rsid w:val="00F518F2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FCDA"/>
  <w15:chartTrackingRefBased/>
  <w15:docId w15:val="{106C44BD-C1CE-4F40-BAE5-70E3078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346D87"/>
    <w:pPr>
      <w:widowControl w:val="0"/>
      <w:autoSpaceDE w:val="0"/>
      <w:autoSpaceDN w:val="0"/>
      <w:ind w:left="112" w:right="112" w:firstLine="709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rsid w:val="00346D87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346D87"/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46D87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46D87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319-31997-1_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319-47732-9_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tava-tour.gov.ua/ua/publication/content/7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Muromtseva</dc:creator>
  <cp:keywords/>
  <dc:description/>
  <cp:lastModifiedBy>Julia Muromtseva</cp:lastModifiedBy>
  <cp:revision>1</cp:revision>
  <dcterms:created xsi:type="dcterms:W3CDTF">2019-10-25T19:15:00Z</dcterms:created>
  <dcterms:modified xsi:type="dcterms:W3CDTF">2019-10-25T19:21:00Z</dcterms:modified>
</cp:coreProperties>
</file>