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99" w:rsidRPr="003C15E5" w:rsidRDefault="00980A99" w:rsidP="00A54366">
      <w:pPr>
        <w:spacing w:after="0" w:line="240" w:lineRule="auto"/>
        <w:rPr>
          <w:rFonts w:ascii="Times New Roman" w:hAnsi="Times New Roman"/>
          <w:sz w:val="28"/>
          <w:szCs w:val="28"/>
          <w:lang w:val="uk-UA"/>
        </w:rPr>
      </w:pPr>
      <w:r>
        <w:rPr>
          <w:rFonts w:ascii="Times New Roman" w:hAnsi="Times New Roman"/>
          <w:sz w:val="28"/>
          <w:szCs w:val="28"/>
        </w:rPr>
        <w:t>УДК</w:t>
      </w:r>
      <w:r>
        <w:rPr>
          <w:rFonts w:ascii="Times New Roman" w:hAnsi="Times New Roman"/>
          <w:sz w:val="28"/>
          <w:szCs w:val="28"/>
          <w:lang w:val="uk-UA"/>
        </w:rPr>
        <w:t xml:space="preserve"> 330.142.2(477.54)</w:t>
      </w:r>
    </w:p>
    <w:p w:rsidR="00980A99" w:rsidRDefault="00980A99" w:rsidP="00A54366">
      <w:pPr>
        <w:spacing w:after="0" w:line="240" w:lineRule="auto"/>
        <w:jc w:val="right"/>
        <w:rPr>
          <w:rFonts w:ascii="Times New Roman" w:hAnsi="Times New Roman"/>
          <w:b/>
          <w:sz w:val="28"/>
          <w:szCs w:val="28"/>
          <w:lang w:val="uk-UA"/>
        </w:rPr>
      </w:pPr>
      <w:r>
        <w:rPr>
          <w:rFonts w:ascii="Times New Roman" w:hAnsi="Times New Roman"/>
          <w:b/>
          <w:sz w:val="28"/>
          <w:szCs w:val="28"/>
          <w:lang w:val="uk-UA"/>
        </w:rPr>
        <w:t>О. О. Зеленько, І. О. Ночвіна</w:t>
      </w:r>
    </w:p>
    <w:p w:rsidR="00980A99" w:rsidRDefault="00980A99" w:rsidP="00A54366">
      <w:pPr>
        <w:spacing w:after="0" w:line="240" w:lineRule="auto"/>
        <w:jc w:val="right"/>
        <w:rPr>
          <w:rFonts w:ascii="Times New Roman" w:hAnsi="Times New Roman"/>
          <w:b/>
          <w:sz w:val="28"/>
          <w:szCs w:val="28"/>
          <w:lang w:val="uk-UA"/>
        </w:rPr>
      </w:pPr>
    </w:p>
    <w:p w:rsidR="00980A99" w:rsidRDefault="00980A99" w:rsidP="00084A9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ПРЯМІ ІНОЗЕМНІ ІНВЕСТИЦІЇ </w:t>
      </w:r>
    </w:p>
    <w:p w:rsidR="00980A99" w:rsidRPr="00994336" w:rsidRDefault="00980A99" w:rsidP="00084A9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 ЕКОНОМІЦІ ХАРКІВСЬКОЇ ОБЛАСТІ</w:t>
      </w:r>
    </w:p>
    <w:p w:rsidR="00980A99" w:rsidRDefault="00980A99" w:rsidP="00A54366">
      <w:pPr>
        <w:spacing w:after="0" w:line="240" w:lineRule="auto"/>
        <w:jc w:val="both"/>
        <w:rPr>
          <w:rFonts w:ascii="Times New Roman" w:hAnsi="Times New Roman"/>
          <w:sz w:val="28"/>
          <w:szCs w:val="28"/>
          <w:lang w:val="uk-UA"/>
        </w:rPr>
      </w:pPr>
    </w:p>
    <w:p w:rsidR="00980A99" w:rsidRDefault="00980A99" w:rsidP="00A54366">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У статті обґрунтовано важливість залучення прямих іноземних інвестицій в економіку України в цілому і в економіку Харківської області зокрема. Розглянуто сутність прямих іноземних інвестицій та їх значення для економічного розвитку. Здійснено аналіз прямих іноземних інвестицій, залучених в економіку Харківської області. На основі проведеного аналізу визначено динаміку надходження ПІІ в економіку регіону, їх частку в сукупному обсязі прямих іноземних інвестицій, залучених до української економіки. Вказано на значне зниження позицій Харківської області серед інших регіонів України по накопиченню ПІІ за останні два роки. Наведено основні причини, що стримують приплив прямих іноземних інвестицій в економіку Харківщини. Охарактеризовано галузеву та територіальну структуру акумульованих у регіоні ПІІ, підкреслено їх нерівномірний розподіл як за галузями економіки, так і за територіями області. Визначено перспективні для залучення прямих іноземних інвестицій галузі економіки в регіоні. Значну увагу приділено основним країнам-постачальникам прямих іноземних інвестицій; висунуто припущення про те, що більшість ПІІ, залучених в економіку Харківського регіону, є капіталом українського походження. Окреслено перспективи щодо можливостей розширення географічної структури прямих іноземних інвестицій в економіці Харківської області. Перспективами подальших досліджень визначено розроблення дієвих механізмів та інструментів, спрямованих на формування позитивного інвестиційного іміджу Харківщини.</w:t>
      </w:r>
    </w:p>
    <w:p w:rsidR="00980A99" w:rsidRPr="00994336" w:rsidRDefault="00980A99" w:rsidP="006971DB">
      <w:pPr>
        <w:spacing w:after="0" w:line="240" w:lineRule="auto"/>
        <w:ind w:firstLine="709"/>
        <w:jc w:val="both"/>
        <w:rPr>
          <w:rFonts w:ascii="Times New Roman" w:hAnsi="Times New Roman"/>
          <w:i/>
          <w:sz w:val="28"/>
          <w:szCs w:val="28"/>
          <w:lang w:val="uk-UA"/>
        </w:rPr>
      </w:pPr>
      <w:r>
        <w:rPr>
          <w:rFonts w:ascii="Times New Roman" w:hAnsi="Times New Roman"/>
          <w:b/>
          <w:i/>
          <w:sz w:val="28"/>
          <w:szCs w:val="28"/>
          <w:lang w:val="uk-UA"/>
        </w:rPr>
        <w:t>Ключові слова:</w:t>
      </w:r>
      <w:r>
        <w:rPr>
          <w:rFonts w:ascii="Times New Roman" w:hAnsi="Times New Roman"/>
          <w:i/>
          <w:sz w:val="28"/>
          <w:szCs w:val="28"/>
          <w:lang w:val="uk-UA"/>
        </w:rPr>
        <w:t xml:space="preserve"> прямі іноземні інвестиції, інвестиційна привабливість, структура прямих іноземних інвестицій, регіон, інвестиційний імідж.</w:t>
      </w:r>
    </w:p>
    <w:p w:rsidR="00980A99" w:rsidRDefault="00980A99" w:rsidP="006971DB">
      <w:pPr>
        <w:spacing w:after="0" w:line="240" w:lineRule="auto"/>
        <w:jc w:val="both"/>
        <w:rPr>
          <w:rFonts w:ascii="Times New Roman" w:hAnsi="Times New Roman"/>
          <w:i/>
          <w:sz w:val="28"/>
          <w:szCs w:val="28"/>
          <w:lang w:val="uk-UA"/>
        </w:rPr>
      </w:pPr>
    </w:p>
    <w:p w:rsidR="00980A99" w:rsidRPr="00A908B8" w:rsidRDefault="00980A99" w:rsidP="00BF0F50">
      <w:pPr>
        <w:spacing w:after="0" w:line="240" w:lineRule="auto"/>
        <w:ind w:firstLine="709"/>
        <w:jc w:val="both"/>
        <w:rPr>
          <w:rFonts w:ascii="Times New Roman" w:hAnsi="Times New Roman"/>
          <w:i/>
          <w:sz w:val="28"/>
          <w:szCs w:val="28"/>
        </w:rPr>
      </w:pPr>
      <w:r>
        <w:rPr>
          <w:rFonts w:ascii="Times New Roman" w:hAnsi="Times New Roman"/>
          <w:i/>
          <w:sz w:val="28"/>
          <w:szCs w:val="28"/>
        </w:rPr>
        <w:t>В статье</w:t>
      </w:r>
      <w:r>
        <w:rPr>
          <w:rFonts w:ascii="Times New Roman" w:hAnsi="Times New Roman"/>
          <w:i/>
          <w:sz w:val="28"/>
          <w:szCs w:val="28"/>
          <w:lang w:val="uk-UA"/>
        </w:rPr>
        <w:t xml:space="preserve"> обоснована важность привлечения прямых иностранных инвестиций в экономику Украины в целом и в экономику Харьковской области в частности. Рассмотрена сущность прямых иностранных инвестиций и их значение в экономическом развитии.</w:t>
      </w:r>
      <w:r w:rsidRPr="00CC1F96">
        <w:rPr>
          <w:rFonts w:ascii="Times New Roman" w:hAnsi="Times New Roman"/>
          <w:i/>
          <w:sz w:val="28"/>
          <w:szCs w:val="28"/>
        </w:rPr>
        <w:t xml:space="preserve"> О</w:t>
      </w:r>
      <w:r>
        <w:rPr>
          <w:rFonts w:ascii="Times New Roman" w:hAnsi="Times New Roman"/>
          <w:i/>
          <w:sz w:val="28"/>
          <w:szCs w:val="28"/>
          <w:lang w:val="uk-UA"/>
        </w:rPr>
        <w:t>существлен анализ прямых</w:t>
      </w:r>
      <w:r w:rsidRPr="00CC1F96">
        <w:rPr>
          <w:rFonts w:ascii="Times New Roman" w:hAnsi="Times New Roman"/>
          <w:i/>
          <w:sz w:val="28"/>
          <w:szCs w:val="28"/>
          <w:lang w:val="uk-UA"/>
        </w:rPr>
        <w:t xml:space="preserve"> </w:t>
      </w:r>
      <w:r>
        <w:rPr>
          <w:rFonts w:ascii="Times New Roman" w:hAnsi="Times New Roman"/>
          <w:i/>
          <w:sz w:val="28"/>
          <w:szCs w:val="28"/>
          <w:lang w:val="uk-UA"/>
        </w:rPr>
        <w:t>иностранных инвестиций, привлеченных в экономику Харьковской области. На основании проведенного анализа определены динамика поступлений ПИИ в экономику региона, их часть в совокупном объеме прямых иностранных инвестиций, привлеченных в украинскую экономику. Указано на значительное снижение позиций Харьковской области среди других регионов Украины по накоплению ПИИ за последние два года. Раскрыты основные причины, сдерживающие приток</w:t>
      </w:r>
      <w:r w:rsidRPr="00A908B8">
        <w:rPr>
          <w:rFonts w:ascii="Times New Roman" w:hAnsi="Times New Roman"/>
          <w:i/>
          <w:sz w:val="28"/>
          <w:szCs w:val="28"/>
          <w:lang w:val="uk-UA"/>
        </w:rPr>
        <w:t xml:space="preserve"> </w:t>
      </w:r>
      <w:r>
        <w:rPr>
          <w:rFonts w:ascii="Times New Roman" w:hAnsi="Times New Roman"/>
          <w:i/>
          <w:sz w:val="28"/>
          <w:szCs w:val="28"/>
          <w:lang w:val="uk-UA"/>
        </w:rPr>
        <w:t>прямых иностранных инвестиций в экономику Харьковщины. Охарактеризованы отраслевая и территориальная структура аккумулированных в регионе ПИИ, подчеркнуто их неравномерное распределение как по отраслях экономики,так и по территориям области.Определены перспективные для привлечения прямых иностранных инвестиций отрасли экономики. Значительное внимание уделено основным странам-поставщикам прямых иностранных инвестиций; выдвинуто предположение о том, что большинство привлеченных в экономику Харьковского региона ПИИ является капиталом украинского происхождения. Намечены перспективы относительно возможностей расширения географической структуры прямых иностранных инвестиций в экономике Харьковской области. Перспективами дальнейших исследований определена разработка действенных механизмов и инструментов, направленнях на формирование положительного инвестиционного имиджа Харьковщины.</w:t>
      </w:r>
    </w:p>
    <w:p w:rsidR="00980A99" w:rsidRPr="009D6F05" w:rsidRDefault="00980A99" w:rsidP="00BF0F50">
      <w:pPr>
        <w:spacing w:after="0" w:line="240" w:lineRule="auto"/>
        <w:ind w:firstLine="709"/>
        <w:jc w:val="both"/>
        <w:rPr>
          <w:rFonts w:ascii="Times New Roman" w:hAnsi="Times New Roman"/>
          <w:i/>
          <w:sz w:val="28"/>
          <w:szCs w:val="28"/>
        </w:rPr>
      </w:pPr>
      <w:r>
        <w:rPr>
          <w:rFonts w:ascii="Times New Roman" w:hAnsi="Times New Roman"/>
          <w:b/>
          <w:i/>
          <w:sz w:val="28"/>
          <w:szCs w:val="28"/>
        </w:rPr>
        <w:t>Ключевые</w:t>
      </w:r>
      <w:r w:rsidRPr="009D6F05">
        <w:rPr>
          <w:rFonts w:ascii="Times New Roman" w:hAnsi="Times New Roman"/>
          <w:b/>
          <w:i/>
          <w:sz w:val="28"/>
          <w:szCs w:val="28"/>
        </w:rPr>
        <w:t xml:space="preserve"> </w:t>
      </w:r>
      <w:r>
        <w:rPr>
          <w:rFonts w:ascii="Times New Roman" w:hAnsi="Times New Roman"/>
          <w:b/>
          <w:i/>
          <w:sz w:val="28"/>
          <w:szCs w:val="28"/>
        </w:rPr>
        <w:t>слова</w:t>
      </w:r>
      <w:r w:rsidRPr="009D6F05">
        <w:rPr>
          <w:rFonts w:ascii="Times New Roman" w:hAnsi="Times New Roman"/>
          <w:b/>
          <w:i/>
          <w:sz w:val="28"/>
          <w:szCs w:val="28"/>
        </w:rPr>
        <w:t>:</w:t>
      </w:r>
      <w:r>
        <w:rPr>
          <w:rFonts w:ascii="Times New Roman" w:hAnsi="Times New Roman"/>
          <w:i/>
          <w:sz w:val="28"/>
          <w:szCs w:val="28"/>
          <w:lang w:val="uk-UA"/>
        </w:rPr>
        <w:t xml:space="preserve"> прямые иностранные инвестиции, инвестиционная привлекательность, структура прямых </w:t>
      </w:r>
      <w:r>
        <w:rPr>
          <w:rFonts w:ascii="Times New Roman" w:hAnsi="Times New Roman"/>
          <w:i/>
          <w:sz w:val="28"/>
          <w:szCs w:val="28"/>
        </w:rPr>
        <w:t>иностранных</w:t>
      </w:r>
      <w:r>
        <w:rPr>
          <w:rFonts w:ascii="Times New Roman" w:hAnsi="Times New Roman"/>
          <w:i/>
          <w:sz w:val="28"/>
          <w:szCs w:val="28"/>
          <w:lang w:val="uk-UA"/>
        </w:rPr>
        <w:t xml:space="preserve"> инвестиций, рег</w:t>
      </w:r>
      <w:r>
        <w:rPr>
          <w:rFonts w:ascii="Times New Roman" w:hAnsi="Times New Roman"/>
          <w:i/>
          <w:sz w:val="28"/>
          <w:szCs w:val="28"/>
        </w:rPr>
        <w:t>и</w:t>
      </w:r>
      <w:r>
        <w:rPr>
          <w:rFonts w:ascii="Times New Roman" w:hAnsi="Times New Roman"/>
          <w:i/>
          <w:sz w:val="28"/>
          <w:szCs w:val="28"/>
          <w:lang w:val="uk-UA"/>
        </w:rPr>
        <w:t>он, инвестиционн</w:t>
      </w:r>
      <w:r>
        <w:rPr>
          <w:rFonts w:ascii="Times New Roman" w:hAnsi="Times New Roman"/>
          <w:i/>
          <w:sz w:val="28"/>
          <w:szCs w:val="28"/>
        </w:rPr>
        <w:t>ы</w:t>
      </w:r>
      <w:r>
        <w:rPr>
          <w:rFonts w:ascii="Times New Roman" w:hAnsi="Times New Roman"/>
          <w:i/>
          <w:sz w:val="28"/>
          <w:szCs w:val="28"/>
          <w:lang w:val="uk-UA"/>
        </w:rPr>
        <w:t xml:space="preserve">й имидж. </w:t>
      </w:r>
    </w:p>
    <w:p w:rsidR="00980A99" w:rsidRPr="009D6F05" w:rsidRDefault="00980A99" w:rsidP="00BF0F50">
      <w:pPr>
        <w:spacing w:after="0" w:line="240" w:lineRule="auto"/>
        <w:ind w:firstLine="709"/>
        <w:jc w:val="both"/>
        <w:rPr>
          <w:rFonts w:ascii="Times New Roman" w:hAnsi="Times New Roman"/>
          <w:b/>
          <w:i/>
          <w:sz w:val="28"/>
          <w:szCs w:val="28"/>
        </w:rPr>
      </w:pPr>
    </w:p>
    <w:p w:rsidR="00980A99" w:rsidRDefault="00980A99" w:rsidP="0034208E">
      <w:pPr>
        <w:spacing w:after="0" w:line="240" w:lineRule="auto"/>
        <w:ind w:firstLine="709"/>
        <w:jc w:val="both"/>
        <w:rPr>
          <w:rFonts w:ascii="Times New Roman" w:hAnsi="Times New Roman"/>
          <w:i/>
          <w:sz w:val="28"/>
          <w:szCs w:val="28"/>
          <w:lang w:val="en-US"/>
        </w:rPr>
      </w:pPr>
      <w:r>
        <w:rPr>
          <w:rFonts w:ascii="Times New Roman" w:hAnsi="Times New Roman"/>
          <w:i/>
          <w:sz w:val="28"/>
          <w:szCs w:val="28"/>
          <w:lang w:val="en-US"/>
        </w:rPr>
        <w:t xml:space="preserve">The article substantiates the importance of attracting foreign direct investment into the economy of </w:t>
      </w:r>
      <w:smartTag w:uri="urn:schemas-microsoft-com:office:smarttags" w:element="place">
        <w:smartTag w:uri="urn:schemas-microsoft-com:office:smarttags" w:element="country-region">
          <w:r>
            <w:rPr>
              <w:rFonts w:ascii="Times New Roman" w:hAnsi="Times New Roman"/>
              <w:i/>
              <w:sz w:val="28"/>
              <w:szCs w:val="28"/>
              <w:lang w:val="en-US"/>
            </w:rPr>
            <w:t>Ukraine</w:t>
          </w:r>
        </w:smartTag>
      </w:smartTag>
      <w:r>
        <w:rPr>
          <w:rFonts w:ascii="Times New Roman" w:hAnsi="Times New Roman"/>
          <w:i/>
          <w:sz w:val="28"/>
          <w:szCs w:val="28"/>
          <w:lang w:val="en-US"/>
        </w:rPr>
        <w:t xml:space="preserve"> as a whole and in the economy of the Kharkiv region in particular. The essence of foreign direct investment and its importance for the economic development are considered. The analysis of foreign direct investments attracted to the economy of the Kharkiv region is carried out. On the basis of the conducted analysis, the dynamics of FDI flow into the region's economy, their share in the total volume of foreign direct investments attracted to the Ukrainian economy is determined. Considerable decrease of the Kharkiv region's positions among other regions of </w:t>
      </w:r>
      <w:smartTag w:uri="urn:schemas-microsoft-com:office:smarttags" w:element="place">
        <w:smartTag w:uri="urn:schemas-microsoft-com:office:smarttags" w:element="country-region">
          <w:r>
            <w:rPr>
              <w:rFonts w:ascii="Times New Roman" w:hAnsi="Times New Roman"/>
              <w:i/>
              <w:sz w:val="28"/>
              <w:szCs w:val="28"/>
              <w:lang w:val="en-US"/>
            </w:rPr>
            <w:t>Ukraine</w:t>
          </w:r>
        </w:smartTag>
      </w:smartTag>
      <w:r>
        <w:rPr>
          <w:rFonts w:ascii="Times New Roman" w:hAnsi="Times New Roman"/>
          <w:i/>
          <w:sz w:val="28"/>
          <w:szCs w:val="28"/>
          <w:lang w:val="en-US"/>
        </w:rPr>
        <w:t xml:space="preserve"> as to the accumulation of FDI over the last two years is pointed out. The main reasons constraining the inflow of foreign direct investments into the economy of the Kharkiv region are given. The sectoral and territorial structure of FDI accumulated in the region is characterized. The uneven distribution of FDI according to the branches of the economy, and beyond the territories of the region is indicated. The promising branches of the economy for attracting foreign direct investments in the region are determined. Considerable attention is paid to the main countries supplying foreign direct investment; the assumption that the majority of FDI attracted to the economy of the Kharkiv region is the capital of Ukrainian origin is made. The prospects for the possible expansion of the geographical structure of foreign direct investment into the economy of the Kharkiv Region are outlined. The development of effective mechanisms and instruments aimed at formation of the positive investment image of the Kharkiv Region is defined to be the perspectives for further scientific research.</w:t>
      </w:r>
    </w:p>
    <w:p w:rsidR="00980A99" w:rsidRPr="00994336" w:rsidRDefault="00980A99" w:rsidP="0034208E">
      <w:pPr>
        <w:spacing w:after="0" w:line="240" w:lineRule="auto"/>
        <w:ind w:firstLine="708"/>
        <w:rPr>
          <w:rFonts w:ascii="Times New Roman" w:hAnsi="Times New Roman"/>
          <w:i/>
          <w:sz w:val="28"/>
          <w:szCs w:val="28"/>
          <w:lang w:val="en-US"/>
        </w:rPr>
      </w:pPr>
      <w:r>
        <w:rPr>
          <w:rFonts w:ascii="Times New Roman" w:hAnsi="Times New Roman"/>
          <w:b/>
          <w:i/>
          <w:sz w:val="28"/>
          <w:szCs w:val="28"/>
          <w:lang w:val="en-US"/>
        </w:rPr>
        <w:t xml:space="preserve">Key words: </w:t>
      </w:r>
      <w:r>
        <w:rPr>
          <w:rFonts w:ascii="Times New Roman" w:hAnsi="Times New Roman"/>
          <w:i/>
          <w:sz w:val="28"/>
          <w:szCs w:val="28"/>
          <w:lang w:val="en-US"/>
        </w:rPr>
        <w:t>foreign direct investments, investment attractiveness,</w:t>
      </w:r>
      <w:r w:rsidRPr="00BD3B03">
        <w:rPr>
          <w:rFonts w:ascii="Times New Roman" w:hAnsi="Times New Roman"/>
          <w:i/>
          <w:sz w:val="28"/>
          <w:szCs w:val="28"/>
          <w:lang w:val="en-US"/>
        </w:rPr>
        <w:t xml:space="preserve"> </w:t>
      </w:r>
      <w:r>
        <w:rPr>
          <w:rFonts w:ascii="Times New Roman" w:hAnsi="Times New Roman"/>
          <w:i/>
          <w:sz w:val="28"/>
          <w:szCs w:val="28"/>
          <w:lang w:val="en-US"/>
        </w:rPr>
        <w:t>structure of foreign direct investmente, region</w:t>
      </w:r>
      <w:r w:rsidRPr="00994336">
        <w:rPr>
          <w:rFonts w:ascii="Times New Roman" w:hAnsi="Times New Roman"/>
          <w:i/>
          <w:sz w:val="28"/>
          <w:szCs w:val="28"/>
          <w:lang w:val="en-US"/>
        </w:rPr>
        <w:t xml:space="preserve">, </w:t>
      </w:r>
      <w:r>
        <w:rPr>
          <w:rFonts w:ascii="Times New Roman" w:hAnsi="Times New Roman"/>
          <w:i/>
          <w:sz w:val="28"/>
          <w:szCs w:val="28"/>
          <w:lang w:val="en-US"/>
        </w:rPr>
        <w:t>investment image</w:t>
      </w:r>
      <w:r w:rsidRPr="00994336">
        <w:rPr>
          <w:rFonts w:ascii="Times New Roman" w:hAnsi="Times New Roman"/>
          <w:i/>
          <w:sz w:val="28"/>
          <w:szCs w:val="28"/>
          <w:lang w:val="en-US"/>
        </w:rPr>
        <w:t>.</w:t>
      </w:r>
    </w:p>
    <w:p w:rsidR="00980A99" w:rsidRPr="0034208E" w:rsidRDefault="00980A99" w:rsidP="00BF0F50">
      <w:pPr>
        <w:spacing w:after="0" w:line="240" w:lineRule="auto"/>
        <w:ind w:firstLine="709"/>
        <w:jc w:val="both"/>
        <w:rPr>
          <w:rFonts w:ascii="Times New Roman" w:hAnsi="Times New Roman"/>
          <w:sz w:val="28"/>
          <w:szCs w:val="28"/>
          <w:lang w:val="en-US"/>
        </w:rPr>
      </w:pPr>
    </w:p>
    <w:p w:rsidR="00980A99" w:rsidRDefault="00980A99" w:rsidP="004D1746">
      <w:pPr>
        <w:spacing w:after="0" w:line="360" w:lineRule="auto"/>
        <w:ind w:right="142" w:firstLine="709"/>
        <w:jc w:val="both"/>
        <w:rPr>
          <w:rFonts w:ascii="Times New Roman" w:hAnsi="Times New Roman"/>
          <w:sz w:val="28"/>
          <w:szCs w:val="28"/>
          <w:lang w:val="uk-UA"/>
        </w:rPr>
      </w:pPr>
      <w:r>
        <w:rPr>
          <w:rFonts w:ascii="Times New Roman" w:hAnsi="Times New Roman"/>
          <w:b/>
          <w:sz w:val="28"/>
          <w:szCs w:val="28"/>
          <w:lang w:val="uk-UA"/>
        </w:rPr>
        <w:t xml:space="preserve">Постановка проблеми. </w:t>
      </w:r>
      <w:r>
        <w:rPr>
          <w:rFonts w:ascii="Times New Roman" w:hAnsi="Times New Roman"/>
          <w:sz w:val="28"/>
          <w:szCs w:val="28"/>
          <w:lang w:val="uk-UA"/>
        </w:rPr>
        <w:t xml:space="preserve">Залучення прямих іноземних інвестицій є одним із пріоритетних напрямів державної економічної політики більшості країн світу, в тому числі й України. Прямі іноземні інвестиції є розвиненою формою міжнародного економічного співробітництва і розглядаються як ефективний спосіб інтеграції національної економіки у світове господарство. Світовий досвід свідчить, що без активного залучення іноземного капіталу в країнах з трансформаційною економікою неможливо здійснити структурну перебудову економіки, скоротити технологічну відсталість та забезпечити її конкурентоспроможність на світовому ринку. </w:t>
      </w:r>
    </w:p>
    <w:p w:rsidR="00980A99" w:rsidRPr="004D1746" w:rsidRDefault="00980A99" w:rsidP="004D1746">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 xml:space="preserve">Для України в умовах дефіциту внутрішніх інвестиційних ресурсів іноземні інвестиції є важливим джерелом стабілізації і подальшого розвитку національної економіки. Прямі іноземні інвестиції дозволяють збільшити виробничі потужності та ресурси, здійснити модернізацію та оновлення основних виробничих фондів, запровадити притаманні ринковій економіці сучасні методи організації виробництва, управління і маркетингу, покращити платіжний баланс шляхом збільшення експорту та заміщення імпорту, збільшити надходження до бюджету у вигляді податків, створити нові робочі місця, підвищити кваліфікацію трудових ресурсів. </w:t>
      </w:r>
    </w:p>
    <w:p w:rsidR="00980A99" w:rsidRPr="00112E07" w:rsidRDefault="00980A99" w:rsidP="001D660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Разом з тим, ефективне функціонування та розвиток економіки будь-якої країни безпосередньо залежить від економічного розвитку її регіонів. У свою чергу, на економічний розвиток кожного регіону впливає кількість і ефективне використання вкладених у нього коштів, тобто інвестицій, у тому числі й іноземних, що й зумовлює актуальність обраної теми дослідження.</w:t>
      </w:r>
    </w:p>
    <w:p w:rsidR="00980A99" w:rsidRDefault="00980A99" w:rsidP="006D4D82">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Аналіз актуальних досліджень. </w:t>
      </w:r>
      <w:r w:rsidRPr="00802939">
        <w:rPr>
          <w:rFonts w:ascii="Times New Roman" w:hAnsi="Times New Roman"/>
          <w:sz w:val="28"/>
          <w:szCs w:val="28"/>
          <w:lang w:val="uk-UA"/>
        </w:rPr>
        <w:t>Теоретичн</w:t>
      </w:r>
      <w:r>
        <w:rPr>
          <w:rFonts w:ascii="Times New Roman" w:hAnsi="Times New Roman"/>
          <w:sz w:val="28"/>
          <w:szCs w:val="28"/>
          <w:lang w:val="uk-UA"/>
        </w:rPr>
        <w:t xml:space="preserve">е підґрунтя міжнародної інвестиційної діяльності було закладено Дж. </w:t>
      </w:r>
      <w:r w:rsidRPr="00AE6045">
        <w:rPr>
          <w:rFonts w:ascii="Times New Roman" w:hAnsi="Times New Roman"/>
          <w:sz w:val="28"/>
          <w:szCs w:val="28"/>
          <w:lang w:val="uk-UA"/>
        </w:rPr>
        <w:t>Д</w:t>
      </w:r>
      <w:r>
        <w:rPr>
          <w:rFonts w:ascii="Times New Roman" w:hAnsi="Times New Roman"/>
          <w:sz w:val="28"/>
          <w:szCs w:val="28"/>
          <w:lang w:val="uk-UA"/>
        </w:rPr>
        <w:t>аннінгом, С. </w:t>
      </w:r>
      <w:r w:rsidRPr="00AE6045">
        <w:rPr>
          <w:rFonts w:ascii="Times New Roman" w:hAnsi="Times New Roman"/>
          <w:sz w:val="28"/>
          <w:szCs w:val="28"/>
          <w:lang w:val="uk-UA"/>
        </w:rPr>
        <w:t>Хаймером</w:t>
      </w:r>
      <w:r>
        <w:rPr>
          <w:rFonts w:ascii="Times New Roman" w:hAnsi="Times New Roman"/>
          <w:sz w:val="28"/>
          <w:szCs w:val="28"/>
          <w:lang w:val="uk-UA"/>
        </w:rPr>
        <w:t xml:space="preserve"> та іншими вченими. Вагомий внесок у дослідження теоретичних і практичних аспектів інвестиційних процесів, впливу прямих іноземних інвестицій на економічний розвиток країн-реципієнтів здійснили відомі українські вчені Д. Лук’</w:t>
      </w:r>
      <w:r w:rsidRPr="00084A96">
        <w:rPr>
          <w:rFonts w:ascii="Times New Roman" w:hAnsi="Times New Roman"/>
          <w:sz w:val="28"/>
          <w:szCs w:val="28"/>
          <w:lang w:val="uk-UA"/>
        </w:rPr>
        <w:t>яненко,</w:t>
      </w:r>
      <w:r>
        <w:rPr>
          <w:rFonts w:ascii="Times New Roman" w:hAnsi="Times New Roman"/>
          <w:sz w:val="28"/>
          <w:szCs w:val="28"/>
          <w:lang w:val="uk-UA"/>
        </w:rPr>
        <w:t xml:space="preserve"> О. Рогач, А. Філіпенко та інші науковці. Проблеми залучення прямих іноземних інвестицій в економіку регіонів досліджували С. Каплун, К. Крамаренко, Н. Маргіта, В. Пилипів, О. Фарат, Ю. Ярош та інші вчені.</w:t>
      </w:r>
    </w:p>
    <w:p w:rsidR="00980A99" w:rsidRPr="00B85EB3" w:rsidRDefault="00980A99" w:rsidP="00422B1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Однак, питанням залучення прямих іноземних інвестицій в економіку окремих регіонів України, у тому числі й Харківської області, на сучасному етапі в науковій економічній літературі приділено недостатньо уваги, що викликає необхідність подальших досліджень.</w:t>
      </w:r>
    </w:p>
    <w:p w:rsidR="00980A99" w:rsidRPr="001467D2" w:rsidRDefault="00980A99" w:rsidP="00BF0F5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Метою статті </w:t>
      </w:r>
      <w:r w:rsidRPr="001467D2">
        <w:rPr>
          <w:rFonts w:ascii="Times New Roman" w:hAnsi="Times New Roman"/>
          <w:sz w:val="28"/>
          <w:szCs w:val="28"/>
          <w:lang w:val="uk-UA"/>
        </w:rPr>
        <w:t>є аналіз прямих іноземних інвестицій</w:t>
      </w:r>
      <w:r>
        <w:rPr>
          <w:rFonts w:ascii="Times New Roman" w:hAnsi="Times New Roman"/>
          <w:sz w:val="28"/>
          <w:szCs w:val="28"/>
          <w:lang w:val="uk-UA"/>
        </w:rPr>
        <w:t xml:space="preserve"> та перспектив їх залучення в економіку Харківського регіону.</w:t>
      </w:r>
    </w:p>
    <w:p w:rsidR="00980A99" w:rsidRPr="00521516" w:rsidRDefault="00980A99" w:rsidP="00521516">
      <w:pPr>
        <w:spacing w:after="0" w:line="360" w:lineRule="auto"/>
        <w:ind w:firstLine="709"/>
        <w:jc w:val="both"/>
        <w:rPr>
          <w:rFonts w:ascii="Arial" w:hAnsi="Arial" w:cs="Arial"/>
          <w:sz w:val="35"/>
          <w:szCs w:val="35"/>
          <w:lang w:val="uk-UA" w:eastAsia="ru-RU"/>
        </w:rPr>
      </w:pPr>
      <w:r w:rsidRPr="0058145A">
        <w:rPr>
          <w:rFonts w:ascii="Times New Roman" w:hAnsi="Times New Roman"/>
          <w:b/>
          <w:sz w:val="28"/>
          <w:szCs w:val="28"/>
          <w:lang w:val="uk-UA"/>
        </w:rPr>
        <w:t>Виклад основного матеріалу.</w:t>
      </w:r>
      <w:r>
        <w:rPr>
          <w:rFonts w:ascii="Times New Roman" w:hAnsi="Times New Roman"/>
          <w:sz w:val="28"/>
          <w:szCs w:val="28"/>
          <w:lang w:val="uk-UA"/>
        </w:rPr>
        <w:t xml:space="preserve"> За схваленим експертами МВФ та ОЕСР визначенням, прямі іноземні інвестиції – це вкладення капіталу за національними межами з метою розширення виготовлення товарів і надання послуг шляхом організації виробництва та придбання товарів для імпорту у власну країну чи експорту до третіх країн. Характерними ознаками ПІІ є здійснення управлінського контролю інвестором та акціонерна форма функціонування підприємства [6, с.</w:t>
      </w:r>
      <w:r>
        <w:rPr>
          <w:rFonts w:ascii="Times New Roman" w:hAnsi="Times New Roman"/>
          <w:sz w:val="28"/>
          <w:szCs w:val="28"/>
          <w:lang w:val="en-US"/>
        </w:rPr>
        <w:t> </w:t>
      </w:r>
      <w:r w:rsidRPr="00F90E6F">
        <w:rPr>
          <w:rFonts w:ascii="Times New Roman" w:hAnsi="Times New Roman"/>
          <w:sz w:val="28"/>
          <w:szCs w:val="28"/>
          <w:lang w:val="uk-UA"/>
        </w:rPr>
        <w:t>21</w:t>
      </w:r>
      <w:r>
        <w:rPr>
          <w:rFonts w:ascii="Times New Roman" w:hAnsi="Times New Roman"/>
          <w:sz w:val="28"/>
          <w:szCs w:val="28"/>
          <w:lang w:val="uk-UA"/>
        </w:rPr>
        <w:t>]</w:t>
      </w:r>
      <w:r w:rsidRPr="00775B8B">
        <w:rPr>
          <w:rFonts w:ascii="Times New Roman" w:hAnsi="Times New Roman"/>
          <w:sz w:val="28"/>
          <w:szCs w:val="28"/>
          <w:lang w:val="uk-UA"/>
        </w:rPr>
        <w:t>.</w:t>
      </w:r>
      <w:r w:rsidRPr="00F90E6F">
        <w:rPr>
          <w:rFonts w:ascii="Times New Roman" w:hAnsi="Times New Roman"/>
          <w:sz w:val="28"/>
          <w:szCs w:val="28"/>
          <w:lang w:val="uk-UA"/>
        </w:rPr>
        <w:t xml:space="preserve"> </w:t>
      </w:r>
    </w:p>
    <w:p w:rsidR="00980A99" w:rsidRDefault="00980A99" w:rsidP="00BF0F50">
      <w:pPr>
        <w:spacing w:after="0" w:line="360" w:lineRule="auto"/>
        <w:ind w:right="140" w:firstLine="709"/>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режим іноземного інвестування» іноземні інвестиції – це «цінності, що вкладаються іноземними інвесторами в об’</w:t>
      </w:r>
      <w:r w:rsidRPr="008A2066">
        <w:rPr>
          <w:rFonts w:ascii="Times New Roman" w:hAnsi="Times New Roman"/>
          <w:sz w:val="28"/>
          <w:szCs w:val="28"/>
          <w:lang w:val="uk-UA"/>
        </w:rPr>
        <w:t>єкти інвестиційної діяльності відповідно до законодавства України з метою отримання прибутку або досягнення соціального ефекту</w:t>
      </w:r>
      <w:r>
        <w:rPr>
          <w:rFonts w:ascii="Times New Roman" w:hAnsi="Times New Roman"/>
          <w:sz w:val="28"/>
          <w:szCs w:val="28"/>
          <w:lang w:val="uk-UA"/>
        </w:rPr>
        <w:t xml:space="preserve">» </w:t>
      </w:r>
      <w:r w:rsidRPr="0050269A">
        <w:rPr>
          <w:rFonts w:ascii="Times New Roman" w:hAnsi="Times New Roman"/>
          <w:sz w:val="28"/>
          <w:szCs w:val="28"/>
          <w:lang w:val="uk-UA"/>
        </w:rPr>
        <w:t>[</w:t>
      </w:r>
      <w:r>
        <w:rPr>
          <w:rFonts w:ascii="Times New Roman" w:hAnsi="Times New Roman"/>
          <w:sz w:val="28"/>
          <w:szCs w:val="28"/>
          <w:lang w:val="uk-UA"/>
        </w:rPr>
        <w:t>2, с. 1</w:t>
      </w:r>
      <w:r w:rsidRPr="0050269A">
        <w:rPr>
          <w:rFonts w:ascii="Times New Roman" w:hAnsi="Times New Roman"/>
          <w:sz w:val="28"/>
          <w:szCs w:val="28"/>
          <w:lang w:val="uk-UA"/>
        </w:rPr>
        <w:t>]</w:t>
      </w:r>
      <w:r>
        <w:rPr>
          <w:rFonts w:ascii="Times New Roman" w:hAnsi="Times New Roman"/>
          <w:sz w:val="28"/>
          <w:szCs w:val="28"/>
          <w:lang w:val="uk-UA"/>
        </w:rPr>
        <w:t xml:space="preserve">. </w:t>
      </w:r>
    </w:p>
    <w:p w:rsidR="00980A99" w:rsidRDefault="00980A99" w:rsidP="00DA3646">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У дослідженнях вітчизняних науковців прямі іноземні інвестиції розглядаються як «реальні капіталовкладення в підприємства, землю, обладнання, технологію або послуги, що створюють матеріальну базу для розширення бізнесу за національні кордони. Ключовою ознакою прямих іноземних інвестицій є набуття довгострокового економічного інтересу, коли інвестор отримує чи зберігає контроль над об’</w:t>
      </w:r>
      <w:r w:rsidRPr="00241FDF">
        <w:rPr>
          <w:rFonts w:ascii="Times New Roman" w:hAnsi="Times New Roman"/>
          <w:sz w:val="28"/>
          <w:szCs w:val="28"/>
          <w:lang w:val="uk-UA"/>
        </w:rPr>
        <w:t>єктом вкладення капіталу</w:t>
      </w:r>
      <w:r>
        <w:rPr>
          <w:rFonts w:ascii="Times New Roman" w:hAnsi="Times New Roman"/>
          <w:sz w:val="28"/>
          <w:szCs w:val="28"/>
          <w:lang w:val="uk-UA"/>
        </w:rPr>
        <w:t xml:space="preserve">» [6, с. 20 – 21]. </w:t>
      </w:r>
    </w:p>
    <w:p w:rsidR="00980A99" w:rsidRPr="004D1746" w:rsidRDefault="00980A99" w:rsidP="00DA3646">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 xml:space="preserve">Україна має значний інвестиційний потенціал: багаті природні ресурси, вигідне географічне положення, сприятливий клімат, родючі грунти для ведення сільського господарства, розвинену транспортну інфраструктуру, </w:t>
      </w:r>
      <w:r w:rsidRPr="008F1ADE">
        <w:rPr>
          <w:rFonts w:ascii="Times New Roman" w:hAnsi="Times New Roman"/>
          <w:sz w:val="28"/>
          <w:szCs w:val="28"/>
          <w:lang w:val="uk-UA"/>
        </w:rPr>
        <w:t>кваліфікован</w:t>
      </w:r>
      <w:r>
        <w:rPr>
          <w:rFonts w:ascii="Times New Roman" w:hAnsi="Times New Roman"/>
          <w:sz w:val="28"/>
          <w:szCs w:val="28"/>
          <w:lang w:val="uk-UA"/>
        </w:rPr>
        <w:t>у</w:t>
      </w:r>
      <w:r w:rsidRPr="008F1ADE">
        <w:rPr>
          <w:rFonts w:ascii="Times New Roman" w:hAnsi="Times New Roman"/>
          <w:sz w:val="28"/>
          <w:szCs w:val="28"/>
          <w:lang w:val="uk-UA"/>
        </w:rPr>
        <w:t xml:space="preserve"> і відносно дешев</w:t>
      </w:r>
      <w:r>
        <w:rPr>
          <w:rFonts w:ascii="Times New Roman" w:hAnsi="Times New Roman"/>
          <w:sz w:val="28"/>
          <w:szCs w:val="28"/>
          <w:lang w:val="uk-UA"/>
        </w:rPr>
        <w:t xml:space="preserve">у робочу силу, ємний ринок, однак, її привабливість для іноземних інвесторів на сьогодні залишається низькою. </w:t>
      </w:r>
    </w:p>
    <w:p w:rsidR="00980A99" w:rsidRDefault="00980A99" w:rsidP="00994336">
      <w:pPr>
        <w:spacing w:after="0" w:line="360" w:lineRule="auto"/>
        <w:ind w:right="142" w:firstLine="708"/>
        <w:jc w:val="both"/>
        <w:rPr>
          <w:rFonts w:ascii="Times New Roman" w:hAnsi="Times New Roman"/>
          <w:sz w:val="28"/>
          <w:szCs w:val="28"/>
          <w:lang w:val="uk-UA"/>
        </w:rPr>
      </w:pPr>
      <w:r>
        <w:rPr>
          <w:rFonts w:ascii="Times New Roman" w:hAnsi="Times New Roman"/>
          <w:sz w:val="28"/>
          <w:szCs w:val="28"/>
          <w:lang w:val="uk-UA"/>
        </w:rPr>
        <w:t>За даними Державної служби статистики України</w:t>
      </w:r>
      <w:r w:rsidRPr="00167158">
        <w:rPr>
          <w:rFonts w:ascii="Times New Roman" w:hAnsi="Times New Roman"/>
          <w:sz w:val="28"/>
          <w:szCs w:val="28"/>
          <w:lang w:val="uk-UA"/>
        </w:rPr>
        <w:t>,</w:t>
      </w:r>
      <w:r>
        <w:rPr>
          <w:rFonts w:ascii="Times New Roman" w:hAnsi="Times New Roman"/>
          <w:sz w:val="28"/>
          <w:szCs w:val="28"/>
          <w:lang w:val="uk-UA"/>
        </w:rPr>
        <w:t xml:space="preserve"> обсяг прямих іноземних інвестицій (акціонерного капіталу), залучених в економіку України з початку інвестування, станом на 31 грудня 2017 р. складає 39144,0 млн. дол. США [3] (сукупний обсяг п</w:t>
      </w:r>
      <w:r w:rsidRPr="0043368D">
        <w:rPr>
          <w:rFonts w:ascii="Times New Roman" w:hAnsi="Times New Roman"/>
          <w:sz w:val="28"/>
          <w:szCs w:val="28"/>
          <w:lang w:val="uk-UA"/>
        </w:rPr>
        <w:t>рям</w:t>
      </w:r>
      <w:r>
        <w:rPr>
          <w:rFonts w:ascii="Times New Roman" w:hAnsi="Times New Roman"/>
          <w:sz w:val="28"/>
          <w:szCs w:val="28"/>
          <w:lang w:val="uk-UA"/>
        </w:rPr>
        <w:t>их</w:t>
      </w:r>
      <w:r w:rsidRPr="0043368D">
        <w:rPr>
          <w:rFonts w:ascii="Times New Roman" w:hAnsi="Times New Roman"/>
          <w:sz w:val="28"/>
          <w:szCs w:val="28"/>
          <w:lang w:val="uk-UA"/>
        </w:rPr>
        <w:t xml:space="preserve"> іноземн</w:t>
      </w:r>
      <w:r>
        <w:rPr>
          <w:rFonts w:ascii="Times New Roman" w:hAnsi="Times New Roman"/>
          <w:sz w:val="28"/>
          <w:szCs w:val="28"/>
          <w:lang w:val="uk-UA"/>
        </w:rPr>
        <w:t>их</w:t>
      </w:r>
      <w:r w:rsidRPr="0043368D">
        <w:rPr>
          <w:rFonts w:ascii="Times New Roman" w:hAnsi="Times New Roman"/>
          <w:sz w:val="28"/>
          <w:szCs w:val="28"/>
          <w:lang w:val="uk-UA"/>
        </w:rPr>
        <w:t xml:space="preserve"> інвестиці</w:t>
      </w:r>
      <w:r>
        <w:rPr>
          <w:rFonts w:ascii="Times New Roman" w:hAnsi="Times New Roman"/>
          <w:sz w:val="28"/>
          <w:szCs w:val="28"/>
          <w:lang w:val="uk-UA"/>
        </w:rPr>
        <w:t>й</w:t>
      </w:r>
      <w:r w:rsidRPr="0043368D">
        <w:rPr>
          <w:rFonts w:ascii="Times New Roman" w:hAnsi="Times New Roman"/>
          <w:sz w:val="28"/>
          <w:szCs w:val="28"/>
          <w:lang w:val="uk-UA"/>
        </w:rPr>
        <w:t xml:space="preserve"> (акціонерн</w:t>
      </w:r>
      <w:r>
        <w:rPr>
          <w:rFonts w:ascii="Times New Roman" w:hAnsi="Times New Roman"/>
          <w:sz w:val="28"/>
          <w:szCs w:val="28"/>
          <w:lang w:val="uk-UA"/>
        </w:rPr>
        <w:t>ого</w:t>
      </w:r>
      <w:r w:rsidRPr="0043368D">
        <w:rPr>
          <w:rFonts w:ascii="Times New Roman" w:hAnsi="Times New Roman"/>
          <w:sz w:val="28"/>
          <w:szCs w:val="28"/>
          <w:lang w:val="uk-UA"/>
        </w:rPr>
        <w:t xml:space="preserve"> капітал</w:t>
      </w:r>
      <w:r>
        <w:rPr>
          <w:rFonts w:ascii="Times New Roman" w:hAnsi="Times New Roman"/>
          <w:sz w:val="28"/>
          <w:szCs w:val="28"/>
          <w:lang w:val="uk-UA"/>
        </w:rPr>
        <w:t>у</w:t>
      </w:r>
      <w:r w:rsidRPr="0043368D">
        <w:rPr>
          <w:rFonts w:ascii="Times New Roman" w:hAnsi="Times New Roman"/>
          <w:sz w:val="28"/>
          <w:szCs w:val="28"/>
          <w:lang w:val="uk-UA"/>
        </w:rPr>
        <w:t>)</w:t>
      </w:r>
      <w:r>
        <w:rPr>
          <w:rFonts w:ascii="Times New Roman" w:hAnsi="Times New Roman"/>
          <w:sz w:val="28"/>
          <w:szCs w:val="28"/>
          <w:lang w:val="uk-UA"/>
        </w:rPr>
        <w:t xml:space="preserve"> в економіці України у </w:t>
      </w:r>
      <w:r w:rsidRPr="008D4AFD">
        <w:rPr>
          <w:rFonts w:ascii="Times New Roman" w:hAnsi="Times New Roman"/>
          <w:sz w:val="28"/>
          <w:szCs w:val="28"/>
        </w:rPr>
        <w:t>2010 – 2017 роках</w:t>
      </w:r>
      <w:r>
        <w:rPr>
          <w:rFonts w:ascii="Times New Roman" w:hAnsi="Times New Roman"/>
          <w:sz w:val="28"/>
          <w:szCs w:val="28"/>
          <w:lang w:val="uk-UA"/>
        </w:rPr>
        <w:t xml:space="preserve"> наведено в таблиці 1). (Дані в усіх таблицях наводяться </w:t>
      </w:r>
      <w:r w:rsidRPr="00167158">
        <w:rPr>
          <w:rFonts w:ascii="Times New Roman" w:hAnsi="Times New Roman"/>
          <w:sz w:val="28"/>
          <w:szCs w:val="28"/>
          <w:lang w:val="uk-UA"/>
        </w:rPr>
        <w:t xml:space="preserve">без урахування тимчасово окупованої Автономної Республіки </w:t>
      </w:r>
      <w:r>
        <w:rPr>
          <w:rFonts w:ascii="Times New Roman" w:hAnsi="Times New Roman"/>
          <w:sz w:val="28"/>
          <w:szCs w:val="28"/>
          <w:lang w:val="uk-UA"/>
        </w:rPr>
        <w:t xml:space="preserve">Крим та м. Севастополя, за 2014 – </w:t>
      </w:r>
      <w:r w:rsidRPr="00167158">
        <w:rPr>
          <w:rFonts w:ascii="Times New Roman" w:hAnsi="Times New Roman"/>
          <w:sz w:val="28"/>
          <w:szCs w:val="28"/>
          <w:lang w:val="uk-UA"/>
        </w:rPr>
        <w:t>201</w:t>
      </w:r>
      <w:r>
        <w:rPr>
          <w:rFonts w:ascii="Times New Roman" w:hAnsi="Times New Roman"/>
          <w:sz w:val="28"/>
          <w:szCs w:val="28"/>
          <w:lang w:val="uk-UA"/>
        </w:rPr>
        <w:t>7 </w:t>
      </w:r>
      <w:r w:rsidRPr="00167158">
        <w:rPr>
          <w:rFonts w:ascii="Times New Roman" w:hAnsi="Times New Roman"/>
          <w:sz w:val="28"/>
          <w:szCs w:val="28"/>
          <w:lang w:val="uk-UA"/>
        </w:rPr>
        <w:t xml:space="preserve">роки – </w:t>
      </w:r>
      <w:r>
        <w:rPr>
          <w:rFonts w:ascii="Times New Roman" w:hAnsi="Times New Roman"/>
          <w:sz w:val="28"/>
          <w:szCs w:val="28"/>
          <w:lang w:val="uk-UA"/>
        </w:rPr>
        <w:t xml:space="preserve">також </w:t>
      </w:r>
      <w:r w:rsidRPr="00167158">
        <w:rPr>
          <w:rFonts w:ascii="Times New Roman" w:hAnsi="Times New Roman"/>
          <w:sz w:val="28"/>
          <w:szCs w:val="28"/>
          <w:lang w:val="uk-UA"/>
        </w:rPr>
        <w:t xml:space="preserve">без урахування </w:t>
      </w:r>
      <w:r>
        <w:rPr>
          <w:rFonts w:ascii="Times New Roman" w:hAnsi="Times New Roman"/>
          <w:sz w:val="28"/>
          <w:szCs w:val="28"/>
          <w:lang w:val="uk-UA"/>
        </w:rPr>
        <w:t>зони</w:t>
      </w:r>
      <w:r w:rsidRPr="00167158">
        <w:rPr>
          <w:rFonts w:ascii="Times New Roman" w:hAnsi="Times New Roman"/>
          <w:sz w:val="28"/>
          <w:szCs w:val="28"/>
          <w:lang w:val="uk-UA"/>
        </w:rPr>
        <w:t xml:space="preserve"> проведення антитерористичної операції в Д</w:t>
      </w:r>
      <w:r>
        <w:rPr>
          <w:rFonts w:ascii="Times New Roman" w:hAnsi="Times New Roman"/>
          <w:sz w:val="28"/>
          <w:szCs w:val="28"/>
          <w:lang w:val="uk-UA"/>
        </w:rPr>
        <w:t>онецькій та Луганській областях).</w:t>
      </w:r>
      <w:r w:rsidRPr="00CF387A">
        <w:rPr>
          <w:rFonts w:ascii="Times New Roman" w:hAnsi="Times New Roman"/>
          <w:sz w:val="28"/>
          <w:szCs w:val="28"/>
          <w:lang w:val="uk-UA"/>
        </w:rPr>
        <w:t xml:space="preserve"> </w:t>
      </w:r>
    </w:p>
    <w:p w:rsidR="00980A99" w:rsidRDefault="00980A99" w:rsidP="00CF387A">
      <w:pPr>
        <w:spacing w:after="0" w:line="360" w:lineRule="auto"/>
        <w:ind w:right="142"/>
        <w:jc w:val="right"/>
        <w:rPr>
          <w:rFonts w:ascii="Times New Roman" w:hAnsi="Times New Roman"/>
          <w:sz w:val="28"/>
          <w:szCs w:val="28"/>
          <w:lang w:val="uk-UA"/>
        </w:rPr>
      </w:pPr>
      <w:r>
        <w:rPr>
          <w:rFonts w:ascii="Times New Roman" w:hAnsi="Times New Roman"/>
          <w:sz w:val="28"/>
          <w:szCs w:val="28"/>
          <w:lang w:val="uk-UA"/>
        </w:rPr>
        <w:t>Таблиця 1</w:t>
      </w:r>
    </w:p>
    <w:p w:rsidR="00980A99" w:rsidRPr="00CF387A" w:rsidRDefault="00980A99" w:rsidP="008420A6">
      <w:pPr>
        <w:spacing w:after="0" w:line="240" w:lineRule="auto"/>
        <w:ind w:right="142"/>
        <w:jc w:val="center"/>
        <w:rPr>
          <w:rFonts w:ascii="Times New Roman" w:hAnsi="Times New Roman"/>
          <w:b/>
          <w:sz w:val="28"/>
          <w:szCs w:val="28"/>
          <w:lang w:val="uk-UA"/>
        </w:rPr>
      </w:pPr>
      <w:r w:rsidRPr="00CF387A">
        <w:rPr>
          <w:rFonts w:ascii="Times New Roman" w:hAnsi="Times New Roman"/>
          <w:b/>
          <w:sz w:val="28"/>
          <w:szCs w:val="28"/>
          <w:lang w:val="uk-UA"/>
        </w:rPr>
        <w:t>Су</w:t>
      </w:r>
      <w:r>
        <w:rPr>
          <w:rFonts w:ascii="Times New Roman" w:hAnsi="Times New Roman"/>
          <w:b/>
          <w:sz w:val="28"/>
          <w:szCs w:val="28"/>
          <w:lang w:val="uk-UA"/>
        </w:rPr>
        <w:t>куп</w:t>
      </w:r>
      <w:r w:rsidRPr="00CF387A">
        <w:rPr>
          <w:rFonts w:ascii="Times New Roman" w:hAnsi="Times New Roman"/>
          <w:b/>
          <w:sz w:val="28"/>
          <w:szCs w:val="28"/>
          <w:lang w:val="uk-UA"/>
        </w:rPr>
        <w:t xml:space="preserve">ний обсяг прямих іноземних інвестицій (акціонерного капіталу) </w:t>
      </w:r>
    </w:p>
    <w:p w:rsidR="00980A99" w:rsidRDefault="00980A99" w:rsidP="008420A6">
      <w:pPr>
        <w:spacing w:after="0" w:line="240" w:lineRule="auto"/>
        <w:ind w:right="142"/>
        <w:jc w:val="center"/>
        <w:rPr>
          <w:rFonts w:ascii="Times New Roman" w:hAnsi="Times New Roman"/>
          <w:b/>
          <w:sz w:val="28"/>
          <w:szCs w:val="28"/>
          <w:lang w:val="uk-UA"/>
        </w:rPr>
      </w:pPr>
      <w:r w:rsidRPr="00CF387A">
        <w:rPr>
          <w:rFonts w:ascii="Times New Roman" w:hAnsi="Times New Roman"/>
          <w:b/>
          <w:sz w:val="28"/>
          <w:szCs w:val="28"/>
          <w:lang w:val="uk-UA"/>
        </w:rPr>
        <w:t>в економіці України у</w:t>
      </w:r>
      <w:r w:rsidRPr="00CF387A">
        <w:rPr>
          <w:rFonts w:ascii="Times New Roman" w:hAnsi="Times New Roman"/>
          <w:b/>
          <w:sz w:val="28"/>
          <w:szCs w:val="28"/>
        </w:rPr>
        <w:t xml:space="preserve"> 2010 – 2017 роках </w:t>
      </w:r>
    </w:p>
    <w:p w:rsidR="00980A99" w:rsidRPr="00E014B8" w:rsidRDefault="00980A99" w:rsidP="008420A6">
      <w:pPr>
        <w:spacing w:after="0" w:line="240" w:lineRule="auto"/>
        <w:ind w:right="142"/>
        <w:jc w:val="center"/>
        <w:rPr>
          <w:rFonts w:ascii="Times New Roman" w:hAnsi="Times New Roman"/>
          <w:b/>
          <w:sz w:val="28"/>
          <w:szCs w:val="28"/>
          <w:lang w:val="uk-UA"/>
        </w:rPr>
      </w:pPr>
      <w:r w:rsidRPr="00CF387A">
        <w:rPr>
          <w:rFonts w:ascii="Times New Roman" w:hAnsi="Times New Roman"/>
          <w:b/>
          <w:sz w:val="28"/>
          <w:szCs w:val="28"/>
          <w:lang w:val="uk-UA"/>
        </w:rPr>
        <w:t xml:space="preserve">(млн. дол. США)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
        <w:gridCol w:w="1017"/>
        <w:gridCol w:w="1193"/>
        <w:gridCol w:w="1118"/>
        <w:gridCol w:w="1008"/>
        <w:gridCol w:w="1103"/>
        <w:gridCol w:w="1008"/>
        <w:gridCol w:w="1008"/>
        <w:gridCol w:w="1099"/>
      </w:tblGrid>
      <w:tr w:rsidR="00980A99" w:rsidRPr="004B34A7" w:rsidTr="004B34A7">
        <w:tc>
          <w:tcPr>
            <w:tcW w:w="9571" w:type="dxa"/>
            <w:gridSpan w:val="9"/>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Станом на:</w:t>
            </w:r>
          </w:p>
        </w:tc>
      </w:tr>
      <w:tr w:rsidR="00980A99" w:rsidRPr="004B34A7" w:rsidTr="004B34A7">
        <w:tc>
          <w:tcPr>
            <w:tcW w:w="8472" w:type="dxa"/>
            <w:gridSpan w:val="8"/>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01.01.</w:t>
            </w:r>
          </w:p>
        </w:tc>
        <w:tc>
          <w:tcPr>
            <w:tcW w:w="1099"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31.12.</w:t>
            </w:r>
          </w:p>
        </w:tc>
      </w:tr>
      <w:tr w:rsidR="00980A99" w:rsidRPr="004B34A7" w:rsidTr="004B34A7">
        <w:tc>
          <w:tcPr>
            <w:tcW w:w="1017"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2010</w:t>
            </w:r>
          </w:p>
        </w:tc>
        <w:tc>
          <w:tcPr>
            <w:tcW w:w="1017"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2011</w:t>
            </w:r>
          </w:p>
        </w:tc>
        <w:tc>
          <w:tcPr>
            <w:tcW w:w="1193"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2012</w:t>
            </w:r>
          </w:p>
        </w:tc>
        <w:tc>
          <w:tcPr>
            <w:tcW w:w="1118"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2013</w:t>
            </w:r>
          </w:p>
        </w:tc>
        <w:tc>
          <w:tcPr>
            <w:tcW w:w="1008"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2014</w:t>
            </w:r>
          </w:p>
        </w:tc>
        <w:tc>
          <w:tcPr>
            <w:tcW w:w="1103"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2015</w:t>
            </w:r>
          </w:p>
        </w:tc>
        <w:tc>
          <w:tcPr>
            <w:tcW w:w="1008"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2016</w:t>
            </w:r>
          </w:p>
        </w:tc>
        <w:tc>
          <w:tcPr>
            <w:tcW w:w="1008"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2017</w:t>
            </w:r>
          </w:p>
        </w:tc>
        <w:tc>
          <w:tcPr>
            <w:tcW w:w="1099" w:type="dxa"/>
          </w:tcPr>
          <w:p w:rsidR="00980A99" w:rsidRPr="004B34A7" w:rsidRDefault="00980A99" w:rsidP="004B34A7">
            <w:pPr>
              <w:spacing w:after="0" w:line="360" w:lineRule="auto"/>
              <w:ind w:right="142"/>
              <w:jc w:val="right"/>
              <w:rPr>
                <w:rFonts w:ascii="Times New Roman" w:hAnsi="Times New Roman"/>
                <w:sz w:val="24"/>
                <w:szCs w:val="24"/>
                <w:lang w:val="uk-UA"/>
              </w:rPr>
            </w:pPr>
            <w:r w:rsidRPr="004B34A7">
              <w:rPr>
                <w:rFonts w:ascii="Times New Roman" w:hAnsi="Times New Roman"/>
                <w:sz w:val="24"/>
                <w:szCs w:val="24"/>
                <w:lang w:val="uk-UA"/>
              </w:rPr>
              <w:t>2017</w:t>
            </w:r>
          </w:p>
        </w:tc>
      </w:tr>
      <w:tr w:rsidR="00980A99" w:rsidRPr="004B34A7" w:rsidTr="004B34A7">
        <w:tc>
          <w:tcPr>
            <w:tcW w:w="1017"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38992,9</w:t>
            </w:r>
          </w:p>
        </w:tc>
        <w:tc>
          <w:tcPr>
            <w:tcW w:w="1017"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45370,0</w:t>
            </w:r>
          </w:p>
        </w:tc>
        <w:tc>
          <w:tcPr>
            <w:tcW w:w="1193"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48197,6</w:t>
            </w:r>
          </w:p>
        </w:tc>
        <w:tc>
          <w:tcPr>
            <w:tcW w:w="1118"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51705,3</w:t>
            </w:r>
          </w:p>
        </w:tc>
        <w:tc>
          <w:tcPr>
            <w:tcW w:w="1008"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53704,0</w:t>
            </w:r>
          </w:p>
        </w:tc>
        <w:tc>
          <w:tcPr>
            <w:tcW w:w="1103"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40725,4</w:t>
            </w:r>
          </w:p>
        </w:tc>
        <w:tc>
          <w:tcPr>
            <w:tcW w:w="1008"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36154,5</w:t>
            </w:r>
          </w:p>
        </w:tc>
        <w:tc>
          <w:tcPr>
            <w:tcW w:w="1008"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37513,6</w:t>
            </w:r>
          </w:p>
        </w:tc>
        <w:tc>
          <w:tcPr>
            <w:tcW w:w="1099" w:type="dxa"/>
          </w:tcPr>
          <w:p w:rsidR="00980A99" w:rsidRPr="004B34A7" w:rsidRDefault="00980A99" w:rsidP="004B34A7">
            <w:pPr>
              <w:spacing w:after="0" w:line="360" w:lineRule="auto"/>
              <w:ind w:right="142"/>
              <w:jc w:val="right"/>
              <w:rPr>
                <w:rFonts w:ascii="Times New Roman" w:hAnsi="Times New Roman"/>
                <w:sz w:val="20"/>
                <w:szCs w:val="20"/>
                <w:lang w:val="uk-UA"/>
              </w:rPr>
            </w:pPr>
          </w:p>
          <w:p w:rsidR="00980A99" w:rsidRPr="004B34A7" w:rsidRDefault="00980A99" w:rsidP="004B34A7">
            <w:pPr>
              <w:spacing w:after="0" w:line="360" w:lineRule="auto"/>
              <w:ind w:right="142"/>
              <w:jc w:val="right"/>
              <w:rPr>
                <w:rFonts w:ascii="Times New Roman" w:hAnsi="Times New Roman"/>
                <w:sz w:val="20"/>
                <w:szCs w:val="20"/>
                <w:lang w:val="uk-UA"/>
              </w:rPr>
            </w:pPr>
            <w:r w:rsidRPr="004B34A7">
              <w:rPr>
                <w:rFonts w:ascii="Times New Roman" w:hAnsi="Times New Roman"/>
                <w:sz w:val="20"/>
                <w:szCs w:val="20"/>
                <w:lang w:val="uk-UA"/>
              </w:rPr>
              <w:t>39144,0</w:t>
            </w:r>
          </w:p>
        </w:tc>
      </w:tr>
    </w:tbl>
    <w:p w:rsidR="00980A99" w:rsidRDefault="00980A99" w:rsidP="0008452F">
      <w:pPr>
        <w:spacing w:after="0" w:line="240" w:lineRule="auto"/>
        <w:ind w:right="142"/>
        <w:rPr>
          <w:rFonts w:ascii="Times New Roman" w:hAnsi="Times New Roman"/>
          <w:i/>
          <w:sz w:val="28"/>
          <w:szCs w:val="28"/>
          <w:lang w:val="uk-UA"/>
        </w:rPr>
      </w:pPr>
    </w:p>
    <w:p w:rsidR="00980A99" w:rsidRDefault="00980A99" w:rsidP="00CE0860">
      <w:pPr>
        <w:spacing w:after="0" w:line="240" w:lineRule="auto"/>
        <w:ind w:right="142" w:firstLine="708"/>
        <w:rPr>
          <w:rFonts w:ascii="Times New Roman" w:hAnsi="Times New Roman"/>
          <w:sz w:val="28"/>
          <w:szCs w:val="28"/>
          <w:lang w:val="uk-UA"/>
        </w:rPr>
      </w:pPr>
      <w:r w:rsidRPr="001617FE">
        <w:rPr>
          <w:rFonts w:ascii="Times New Roman" w:hAnsi="Times New Roman"/>
          <w:i/>
          <w:sz w:val="28"/>
          <w:szCs w:val="28"/>
          <w:lang w:val="uk-UA"/>
        </w:rPr>
        <w:t>Джерело: Державна служба статистики України [</w:t>
      </w:r>
      <w:r>
        <w:rPr>
          <w:rFonts w:ascii="Times New Roman" w:hAnsi="Times New Roman"/>
          <w:i/>
          <w:sz w:val="28"/>
          <w:szCs w:val="28"/>
          <w:lang w:val="uk-UA"/>
        </w:rPr>
        <w:t>3</w:t>
      </w:r>
      <w:r w:rsidRPr="001617FE">
        <w:rPr>
          <w:rFonts w:ascii="Times New Roman" w:hAnsi="Times New Roman"/>
          <w:i/>
          <w:sz w:val="28"/>
          <w:szCs w:val="28"/>
          <w:lang w:val="uk-UA"/>
        </w:rPr>
        <w:t>]</w:t>
      </w:r>
      <w:r w:rsidRPr="001617FE">
        <w:rPr>
          <w:rFonts w:ascii="Times New Roman" w:hAnsi="Times New Roman"/>
          <w:i/>
          <w:sz w:val="28"/>
          <w:szCs w:val="28"/>
        </w:rPr>
        <w:t>.</w:t>
      </w:r>
    </w:p>
    <w:p w:rsidR="00980A99" w:rsidRDefault="00980A99" w:rsidP="00C20579">
      <w:pPr>
        <w:spacing w:after="0" w:line="360" w:lineRule="auto"/>
        <w:ind w:right="142"/>
        <w:jc w:val="both"/>
        <w:rPr>
          <w:rFonts w:ascii="Times New Roman" w:hAnsi="Times New Roman"/>
          <w:sz w:val="28"/>
          <w:szCs w:val="28"/>
          <w:lang w:val="uk-UA"/>
        </w:rPr>
      </w:pPr>
    </w:p>
    <w:p w:rsidR="00980A99" w:rsidRDefault="00980A99" w:rsidP="008420A6">
      <w:pPr>
        <w:spacing w:after="0" w:line="360" w:lineRule="auto"/>
        <w:ind w:right="142" w:firstLine="708"/>
        <w:jc w:val="both"/>
        <w:rPr>
          <w:rFonts w:ascii="Times New Roman" w:hAnsi="Times New Roman"/>
          <w:sz w:val="28"/>
          <w:szCs w:val="28"/>
          <w:lang w:val="uk-UA"/>
        </w:rPr>
      </w:pPr>
      <w:r>
        <w:rPr>
          <w:rFonts w:ascii="Times New Roman" w:hAnsi="Times New Roman"/>
          <w:sz w:val="28"/>
          <w:szCs w:val="28"/>
          <w:lang w:val="uk-UA"/>
        </w:rPr>
        <w:t>У 2017 році іноземні інвестори вклали в економіку України лише 1871,2 млн. дол. США, що на 2534,6 млн. дол. США менше, ніж у 2016  році (4405,8 млн. дол. США) і є найменшим показником за останні вісім років. Динаміка надходження прямих іноземних інвестицій в економіку України у 2010 – 2017 роках відображена в таблиці 2.</w:t>
      </w:r>
    </w:p>
    <w:p w:rsidR="00980A99" w:rsidRDefault="00980A99" w:rsidP="00F572F9">
      <w:pPr>
        <w:spacing w:after="0" w:line="360" w:lineRule="auto"/>
        <w:ind w:right="142" w:firstLine="708"/>
        <w:jc w:val="right"/>
        <w:rPr>
          <w:rFonts w:ascii="Times New Roman" w:hAnsi="Times New Roman"/>
          <w:sz w:val="28"/>
          <w:szCs w:val="28"/>
          <w:lang w:val="uk-UA"/>
        </w:rPr>
      </w:pPr>
      <w:r>
        <w:rPr>
          <w:rFonts w:ascii="Times New Roman" w:hAnsi="Times New Roman"/>
          <w:sz w:val="28"/>
          <w:szCs w:val="28"/>
          <w:lang w:val="uk-UA"/>
        </w:rPr>
        <w:t>Таблиця 2</w:t>
      </w:r>
    </w:p>
    <w:p w:rsidR="00980A99" w:rsidRDefault="00980A99" w:rsidP="008420A6">
      <w:pPr>
        <w:spacing w:after="0" w:line="240" w:lineRule="auto"/>
        <w:ind w:right="142" w:firstLine="708"/>
        <w:jc w:val="center"/>
        <w:rPr>
          <w:rFonts w:ascii="Times New Roman" w:hAnsi="Times New Roman"/>
          <w:b/>
          <w:sz w:val="28"/>
          <w:szCs w:val="28"/>
          <w:lang w:val="uk-UA"/>
        </w:rPr>
      </w:pPr>
      <w:r>
        <w:rPr>
          <w:rFonts w:ascii="Times New Roman" w:hAnsi="Times New Roman"/>
          <w:b/>
          <w:sz w:val="28"/>
          <w:szCs w:val="28"/>
          <w:lang w:val="uk-UA"/>
        </w:rPr>
        <w:t>Динаміка н</w:t>
      </w:r>
      <w:r w:rsidRPr="00D60349">
        <w:rPr>
          <w:rFonts w:ascii="Times New Roman" w:hAnsi="Times New Roman"/>
          <w:b/>
          <w:sz w:val="28"/>
          <w:szCs w:val="28"/>
          <w:lang w:val="uk-UA"/>
        </w:rPr>
        <w:t xml:space="preserve">адходження прямих іноземних інвестицій </w:t>
      </w:r>
    </w:p>
    <w:p w:rsidR="00980A99" w:rsidRPr="00E014B8" w:rsidRDefault="00980A99" w:rsidP="008420A6">
      <w:pPr>
        <w:spacing w:after="0" w:line="240" w:lineRule="auto"/>
        <w:ind w:right="142"/>
        <w:jc w:val="center"/>
        <w:rPr>
          <w:rFonts w:ascii="Times New Roman" w:hAnsi="Times New Roman"/>
          <w:b/>
          <w:sz w:val="28"/>
          <w:szCs w:val="28"/>
          <w:lang w:val="uk-UA"/>
        </w:rPr>
      </w:pPr>
      <w:r w:rsidRPr="00D60349">
        <w:rPr>
          <w:rFonts w:ascii="Times New Roman" w:hAnsi="Times New Roman"/>
          <w:b/>
          <w:sz w:val="28"/>
          <w:szCs w:val="28"/>
          <w:lang w:val="uk-UA"/>
        </w:rPr>
        <w:t>(акціонерного капіталу) в економіку України у 2010 – 2017 роках</w:t>
      </w:r>
      <w:r>
        <w:rPr>
          <w:rFonts w:ascii="Times New Roman" w:hAnsi="Times New Roman"/>
          <w:b/>
          <w:sz w:val="28"/>
          <w:szCs w:val="28"/>
          <w:lang w:val="uk-UA"/>
        </w:rPr>
        <w:t xml:space="preserve"> </w:t>
      </w:r>
      <w:r w:rsidRPr="00CF387A">
        <w:rPr>
          <w:rFonts w:ascii="Times New Roman" w:hAnsi="Times New Roman"/>
          <w:b/>
          <w:sz w:val="28"/>
          <w:szCs w:val="28"/>
          <w:lang w:val="uk-UA"/>
        </w:rPr>
        <w:t xml:space="preserve">(млн. дол. США)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134"/>
        <w:gridCol w:w="1417"/>
        <w:gridCol w:w="1276"/>
        <w:gridCol w:w="1134"/>
        <w:gridCol w:w="1134"/>
        <w:gridCol w:w="1187"/>
        <w:gridCol w:w="1188"/>
      </w:tblGrid>
      <w:tr w:rsidR="00980A99" w:rsidRPr="004B34A7" w:rsidTr="004B34A7">
        <w:tc>
          <w:tcPr>
            <w:tcW w:w="1101"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2010</w:t>
            </w:r>
          </w:p>
        </w:tc>
        <w:tc>
          <w:tcPr>
            <w:tcW w:w="1134"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2011</w:t>
            </w:r>
          </w:p>
        </w:tc>
        <w:tc>
          <w:tcPr>
            <w:tcW w:w="1417"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2012</w:t>
            </w:r>
          </w:p>
        </w:tc>
        <w:tc>
          <w:tcPr>
            <w:tcW w:w="1276"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2013</w:t>
            </w:r>
          </w:p>
        </w:tc>
        <w:tc>
          <w:tcPr>
            <w:tcW w:w="1134"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2014</w:t>
            </w:r>
          </w:p>
        </w:tc>
        <w:tc>
          <w:tcPr>
            <w:tcW w:w="1134"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2015</w:t>
            </w:r>
          </w:p>
        </w:tc>
        <w:tc>
          <w:tcPr>
            <w:tcW w:w="1187"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2016</w:t>
            </w:r>
          </w:p>
        </w:tc>
        <w:tc>
          <w:tcPr>
            <w:tcW w:w="1188"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2017</w:t>
            </w:r>
          </w:p>
        </w:tc>
      </w:tr>
      <w:tr w:rsidR="00980A99" w:rsidRPr="004B34A7" w:rsidTr="004B34A7">
        <w:tc>
          <w:tcPr>
            <w:tcW w:w="1101"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5851,2</w:t>
            </w:r>
          </w:p>
        </w:tc>
        <w:tc>
          <w:tcPr>
            <w:tcW w:w="1134"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6033,7</w:t>
            </w:r>
          </w:p>
        </w:tc>
        <w:tc>
          <w:tcPr>
            <w:tcW w:w="1417"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5290,7</w:t>
            </w:r>
          </w:p>
        </w:tc>
        <w:tc>
          <w:tcPr>
            <w:tcW w:w="1276"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5462,1</w:t>
            </w:r>
          </w:p>
        </w:tc>
        <w:tc>
          <w:tcPr>
            <w:tcW w:w="1134"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2451,7</w:t>
            </w:r>
          </w:p>
        </w:tc>
        <w:tc>
          <w:tcPr>
            <w:tcW w:w="1134"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3763,7</w:t>
            </w:r>
          </w:p>
        </w:tc>
        <w:tc>
          <w:tcPr>
            <w:tcW w:w="1187"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4405,8</w:t>
            </w:r>
          </w:p>
        </w:tc>
        <w:tc>
          <w:tcPr>
            <w:tcW w:w="1188"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1871,2</w:t>
            </w:r>
          </w:p>
        </w:tc>
      </w:tr>
    </w:tbl>
    <w:p w:rsidR="00980A99" w:rsidRDefault="00980A99" w:rsidP="00207125">
      <w:pPr>
        <w:spacing w:after="0" w:line="240" w:lineRule="auto"/>
        <w:ind w:right="142" w:firstLine="708"/>
        <w:jc w:val="center"/>
        <w:rPr>
          <w:rFonts w:ascii="Times New Roman" w:hAnsi="Times New Roman"/>
          <w:sz w:val="28"/>
          <w:szCs w:val="28"/>
          <w:lang w:val="uk-UA"/>
        </w:rPr>
      </w:pPr>
    </w:p>
    <w:p w:rsidR="00980A99" w:rsidRDefault="00980A99" w:rsidP="00207125">
      <w:pPr>
        <w:spacing w:after="0" w:line="360" w:lineRule="auto"/>
        <w:ind w:right="142" w:firstLine="708"/>
        <w:rPr>
          <w:rFonts w:ascii="Times New Roman" w:hAnsi="Times New Roman"/>
          <w:sz w:val="28"/>
          <w:szCs w:val="28"/>
          <w:lang w:val="uk-UA"/>
        </w:rPr>
      </w:pPr>
      <w:r w:rsidRPr="001617FE">
        <w:rPr>
          <w:rFonts w:ascii="Times New Roman" w:hAnsi="Times New Roman"/>
          <w:i/>
          <w:sz w:val="28"/>
          <w:szCs w:val="28"/>
          <w:lang w:val="uk-UA"/>
        </w:rPr>
        <w:t>Джерело: Державна служба статистики України [</w:t>
      </w:r>
      <w:r>
        <w:rPr>
          <w:rFonts w:ascii="Times New Roman" w:hAnsi="Times New Roman"/>
          <w:i/>
          <w:sz w:val="28"/>
          <w:szCs w:val="28"/>
          <w:lang w:val="uk-UA"/>
        </w:rPr>
        <w:t>3</w:t>
      </w:r>
      <w:r w:rsidRPr="001617FE">
        <w:rPr>
          <w:rFonts w:ascii="Times New Roman" w:hAnsi="Times New Roman"/>
          <w:i/>
          <w:sz w:val="28"/>
          <w:szCs w:val="28"/>
          <w:lang w:val="uk-UA"/>
        </w:rPr>
        <w:t>]</w:t>
      </w:r>
      <w:r w:rsidRPr="00207125">
        <w:rPr>
          <w:rFonts w:ascii="Times New Roman" w:hAnsi="Times New Roman"/>
          <w:i/>
          <w:sz w:val="28"/>
          <w:szCs w:val="28"/>
          <w:lang w:val="uk-UA"/>
        </w:rPr>
        <w:t>.</w:t>
      </w:r>
    </w:p>
    <w:p w:rsidR="00980A99" w:rsidRPr="00207125" w:rsidRDefault="00980A99" w:rsidP="00207125">
      <w:pPr>
        <w:spacing w:after="0" w:line="360" w:lineRule="auto"/>
        <w:ind w:right="142" w:firstLine="708"/>
        <w:jc w:val="both"/>
        <w:rPr>
          <w:rFonts w:ascii="Times New Roman" w:hAnsi="Times New Roman"/>
          <w:i/>
          <w:sz w:val="28"/>
          <w:szCs w:val="28"/>
          <w:lang w:val="uk-UA"/>
        </w:rPr>
      </w:pPr>
      <w:r>
        <w:rPr>
          <w:rFonts w:ascii="Times New Roman" w:hAnsi="Times New Roman"/>
          <w:sz w:val="28"/>
          <w:szCs w:val="28"/>
          <w:lang w:val="uk-UA"/>
        </w:rPr>
        <w:t xml:space="preserve">Отже, динаміка надходження ПІІ в Україну свідчить, що інвестиційна привабливість України для іноземних інвесторів залишається низькою, що зумовлено низкою чинників, зокрема: політичною і економічною нестабільністю, збройним конфліктом на Сході України, низькими темпами реформ, високим рівнем корупції в країні, недосконалістю законодавчої бази, відсутністю єдиної стратегії щодо заохочення інвестицій, непередбачуваністю податкової політики, слабкою судовою системою. </w:t>
      </w:r>
    </w:p>
    <w:p w:rsidR="00980A99" w:rsidRDefault="00980A99" w:rsidP="005D1D06">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Найбільші обсяги прямих іноземних інвестицій станом на 31.12.2017 р. сконцентровані у м. Києві – 23103,4 млн. дол. США, Дніпропетровській – 3815,5 млн. дол. США, Київській – 1565,1 млн. дол.</w:t>
      </w:r>
      <w:r>
        <w:rPr>
          <w:rFonts w:ascii="Times New Roman" w:hAnsi="Times New Roman"/>
          <w:sz w:val="28"/>
          <w:szCs w:val="28"/>
          <w:lang w:val="en-US"/>
        </w:rPr>
        <w:t> </w:t>
      </w:r>
      <w:r>
        <w:rPr>
          <w:rFonts w:ascii="Times New Roman" w:hAnsi="Times New Roman"/>
          <w:sz w:val="28"/>
          <w:szCs w:val="28"/>
          <w:lang w:val="uk-UA"/>
        </w:rPr>
        <w:t>США,</w:t>
      </w:r>
      <w:r w:rsidRPr="00986450">
        <w:rPr>
          <w:rFonts w:ascii="Times New Roman" w:hAnsi="Times New Roman"/>
          <w:sz w:val="28"/>
          <w:szCs w:val="28"/>
          <w:lang w:val="uk-UA"/>
        </w:rPr>
        <w:t xml:space="preserve"> </w:t>
      </w:r>
      <w:r>
        <w:rPr>
          <w:rFonts w:ascii="Times New Roman" w:hAnsi="Times New Roman"/>
          <w:sz w:val="28"/>
          <w:szCs w:val="28"/>
          <w:lang w:val="uk-UA"/>
        </w:rPr>
        <w:t>Одеській – 1363,2 млн. дол. США і Донецькій – 1216,0 млн. дол. США</w:t>
      </w:r>
      <w:r w:rsidRPr="00986450">
        <w:rPr>
          <w:rFonts w:ascii="Times New Roman" w:hAnsi="Times New Roman"/>
          <w:sz w:val="28"/>
          <w:szCs w:val="28"/>
          <w:lang w:val="uk-UA"/>
        </w:rPr>
        <w:t xml:space="preserve"> </w:t>
      </w:r>
      <w:r>
        <w:rPr>
          <w:rFonts w:ascii="Times New Roman" w:hAnsi="Times New Roman"/>
          <w:sz w:val="28"/>
          <w:szCs w:val="28"/>
          <w:lang w:val="uk-UA"/>
        </w:rPr>
        <w:t>областях, за ними йдуть Львівська (1187,7 млн. </w:t>
      </w:r>
      <w:r w:rsidRPr="00986450">
        <w:rPr>
          <w:rFonts w:ascii="Times New Roman" w:hAnsi="Times New Roman"/>
          <w:sz w:val="28"/>
          <w:szCs w:val="28"/>
          <w:lang w:val="uk-UA"/>
        </w:rPr>
        <w:t>дол.</w:t>
      </w:r>
      <w:r>
        <w:rPr>
          <w:rFonts w:ascii="Times New Roman" w:hAnsi="Times New Roman"/>
          <w:sz w:val="28"/>
          <w:szCs w:val="28"/>
          <w:lang w:val="uk-UA"/>
        </w:rPr>
        <w:t> США), Полтавська (1049,0 млн. дол. США), Запорізька (915,7 млн. дол. США), Івано-Франківська (908,6 млн. дол. США) області </w:t>
      </w:r>
      <w:r w:rsidRPr="00463407">
        <w:rPr>
          <w:rFonts w:ascii="Times New Roman" w:hAnsi="Times New Roman"/>
          <w:sz w:val="28"/>
          <w:szCs w:val="28"/>
          <w:lang w:val="uk-UA"/>
        </w:rPr>
        <w:t>[3]</w:t>
      </w:r>
      <w:r w:rsidRPr="00207125">
        <w:rPr>
          <w:rFonts w:ascii="Times New Roman" w:hAnsi="Times New Roman"/>
          <w:i/>
          <w:sz w:val="28"/>
          <w:szCs w:val="28"/>
          <w:lang w:val="uk-UA"/>
        </w:rPr>
        <w:t>.</w:t>
      </w:r>
    </w:p>
    <w:p w:rsidR="00980A99" w:rsidRPr="005D1D06" w:rsidRDefault="00980A99" w:rsidP="00914EA6">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Сукупний обсяг прямих іноземних інвестицій (акціонерного капіталу) в економіці Харківської області станом на 31.12.2017 р. складає 658,2 млн. дол. США, що забезпечує їй лише 10 позицію серед регіонів України. Харківська область протягом 2010 – 2014 років входила до четвірки найбільш привабливих для іноземних інвесторів регіонів України і за обсягом ПІІ  традиційно посідала 4 місце після м. Києва, Дніпропетровської і Донецької областей, станом на 01 січня 2015 і 2016 років – 5 місце після м Києва, Дніпропетровської, Донецької і Київської областей. Але на початок 2017 р., Харківська область втратила ще 5 позицій і вийшла лише на 10 місце</w:t>
      </w:r>
      <w:r w:rsidRPr="00454357">
        <w:rPr>
          <w:rFonts w:ascii="Times New Roman" w:hAnsi="Times New Roman"/>
          <w:sz w:val="28"/>
          <w:szCs w:val="28"/>
          <w:lang w:val="uk-UA"/>
        </w:rPr>
        <w:t xml:space="preserve"> </w:t>
      </w:r>
      <w:r>
        <w:rPr>
          <w:rFonts w:ascii="Times New Roman" w:hAnsi="Times New Roman"/>
          <w:sz w:val="28"/>
          <w:szCs w:val="28"/>
          <w:lang w:val="uk-UA"/>
        </w:rPr>
        <w:t xml:space="preserve">серед областей України і м. </w:t>
      </w:r>
      <w:r w:rsidRPr="0014647C">
        <w:rPr>
          <w:rFonts w:ascii="Times New Roman" w:hAnsi="Times New Roman"/>
          <w:sz w:val="28"/>
          <w:szCs w:val="28"/>
        </w:rPr>
        <w:t>К</w:t>
      </w:r>
      <w:r>
        <w:rPr>
          <w:rFonts w:ascii="Times New Roman" w:hAnsi="Times New Roman"/>
          <w:sz w:val="28"/>
          <w:szCs w:val="28"/>
          <w:lang w:val="uk-UA"/>
        </w:rPr>
        <w:t xml:space="preserve">иєва. Така тенденція збереглася і на кінець 2017 року. Частка прямих іноземних інвестицій, залучених до Харківської області, у загальному обсязі ПІІ в економіці України у 2010 – 2017 роках наведена в таблиці 3. </w:t>
      </w:r>
    </w:p>
    <w:p w:rsidR="00980A99" w:rsidRDefault="00980A99" w:rsidP="00FD0D91">
      <w:pPr>
        <w:spacing w:after="0" w:line="360" w:lineRule="auto"/>
        <w:ind w:left="119" w:right="142" w:firstLine="709"/>
        <w:jc w:val="right"/>
        <w:rPr>
          <w:rFonts w:ascii="Times New Roman" w:hAnsi="Times New Roman"/>
          <w:sz w:val="28"/>
          <w:szCs w:val="28"/>
          <w:lang w:val="uk-UA"/>
        </w:rPr>
      </w:pPr>
    </w:p>
    <w:p w:rsidR="00980A99" w:rsidRDefault="00980A99" w:rsidP="00FD0D91">
      <w:pPr>
        <w:spacing w:after="0" w:line="360" w:lineRule="auto"/>
        <w:ind w:left="119" w:right="142" w:firstLine="709"/>
        <w:jc w:val="right"/>
        <w:rPr>
          <w:rFonts w:ascii="Times New Roman" w:hAnsi="Times New Roman"/>
          <w:sz w:val="28"/>
          <w:szCs w:val="28"/>
          <w:lang w:val="uk-UA"/>
        </w:rPr>
      </w:pPr>
    </w:p>
    <w:p w:rsidR="00980A99" w:rsidRPr="00FD0D91" w:rsidRDefault="00980A99" w:rsidP="00FD0D91">
      <w:pPr>
        <w:spacing w:after="0" w:line="360" w:lineRule="auto"/>
        <w:ind w:left="119" w:right="142" w:firstLine="709"/>
        <w:jc w:val="right"/>
        <w:rPr>
          <w:rFonts w:ascii="Times New Roman" w:hAnsi="Times New Roman"/>
          <w:sz w:val="28"/>
          <w:szCs w:val="28"/>
          <w:lang w:val="uk-UA"/>
        </w:rPr>
      </w:pPr>
      <w:r>
        <w:rPr>
          <w:rFonts w:ascii="Times New Roman" w:hAnsi="Times New Roman"/>
          <w:sz w:val="28"/>
          <w:szCs w:val="28"/>
          <w:lang w:val="uk-UA"/>
        </w:rPr>
        <w:t>Таблиця 3</w:t>
      </w:r>
    </w:p>
    <w:p w:rsidR="00980A99" w:rsidRDefault="00980A99" w:rsidP="008420A6">
      <w:pPr>
        <w:spacing w:after="0" w:line="240" w:lineRule="auto"/>
        <w:ind w:right="142"/>
        <w:jc w:val="center"/>
        <w:rPr>
          <w:rFonts w:ascii="Times New Roman" w:hAnsi="Times New Roman"/>
          <w:b/>
          <w:sz w:val="28"/>
          <w:szCs w:val="28"/>
          <w:lang w:val="uk-UA"/>
        </w:rPr>
      </w:pPr>
      <w:r w:rsidRPr="005D1D06">
        <w:rPr>
          <w:rFonts w:ascii="Times New Roman" w:hAnsi="Times New Roman"/>
          <w:b/>
          <w:sz w:val="28"/>
          <w:szCs w:val="28"/>
          <w:lang w:val="uk-UA"/>
        </w:rPr>
        <w:t xml:space="preserve">Частка прямих іноземних інвестицій в економіці Харківської області </w:t>
      </w:r>
    </w:p>
    <w:p w:rsidR="00980A99" w:rsidRDefault="00980A99" w:rsidP="008420A6">
      <w:pPr>
        <w:spacing w:after="0" w:line="240" w:lineRule="auto"/>
        <w:ind w:right="142"/>
        <w:jc w:val="center"/>
        <w:rPr>
          <w:rFonts w:ascii="Times New Roman" w:hAnsi="Times New Roman"/>
          <w:b/>
          <w:sz w:val="28"/>
          <w:szCs w:val="28"/>
          <w:lang w:val="uk-UA"/>
        </w:rPr>
      </w:pPr>
      <w:r w:rsidRPr="005D1D06">
        <w:rPr>
          <w:rFonts w:ascii="Times New Roman" w:hAnsi="Times New Roman"/>
          <w:b/>
          <w:sz w:val="28"/>
          <w:szCs w:val="28"/>
          <w:lang w:val="uk-UA"/>
        </w:rPr>
        <w:t xml:space="preserve">у загальному обсязі ПІІ в Україні </w:t>
      </w:r>
      <w:r>
        <w:rPr>
          <w:rFonts w:ascii="Times New Roman" w:hAnsi="Times New Roman"/>
          <w:b/>
          <w:sz w:val="28"/>
          <w:szCs w:val="28"/>
          <w:lang w:val="uk-UA"/>
        </w:rPr>
        <w:t>у</w:t>
      </w:r>
      <w:r w:rsidRPr="005D1D06">
        <w:rPr>
          <w:rFonts w:ascii="Times New Roman" w:hAnsi="Times New Roman"/>
          <w:b/>
          <w:sz w:val="28"/>
          <w:szCs w:val="28"/>
          <w:lang w:val="uk-UA"/>
        </w:rPr>
        <w:t xml:space="preserve"> 2010 – 2017 рок</w:t>
      </w:r>
      <w:r>
        <w:rPr>
          <w:rFonts w:ascii="Times New Roman" w:hAnsi="Times New Roman"/>
          <w:b/>
          <w:sz w:val="28"/>
          <w:szCs w:val="28"/>
          <w:lang w:val="uk-UA"/>
        </w:rPr>
        <w:t>ах</w:t>
      </w:r>
    </w:p>
    <w:p w:rsidR="00980A99" w:rsidRDefault="00980A99" w:rsidP="008420A6">
      <w:pPr>
        <w:spacing w:after="0" w:line="240" w:lineRule="auto"/>
        <w:ind w:right="142"/>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980A99" w:rsidRPr="0066305A"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 xml:space="preserve">Станом на: </w:t>
            </w:r>
          </w:p>
        </w:tc>
        <w:tc>
          <w:tcPr>
            <w:tcW w:w="2393" w:type="dxa"/>
            <w:vMerge w:val="restart"/>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Сукупний обсяг прямих іноземних інвестицій в економіці України (млн. дол. США/ 100 %)</w:t>
            </w:r>
          </w:p>
        </w:tc>
        <w:tc>
          <w:tcPr>
            <w:tcW w:w="4786" w:type="dxa"/>
            <w:gridSpan w:val="2"/>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Сукупний обсяг прямих іноземних інвестицій в економіці Харківської області</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p>
          <w:p w:rsidR="00980A99" w:rsidRPr="004B34A7" w:rsidRDefault="00980A99" w:rsidP="004B34A7">
            <w:pPr>
              <w:spacing w:after="0" w:line="360" w:lineRule="auto"/>
              <w:ind w:right="142"/>
              <w:jc w:val="center"/>
              <w:rPr>
                <w:rFonts w:ascii="Times New Roman" w:hAnsi="Times New Roman"/>
                <w:sz w:val="28"/>
                <w:szCs w:val="28"/>
                <w:lang w:val="uk-UA"/>
              </w:rPr>
            </w:pPr>
            <w:r w:rsidRPr="004B34A7">
              <w:rPr>
                <w:rFonts w:ascii="Times New Roman" w:hAnsi="Times New Roman"/>
                <w:sz w:val="24"/>
                <w:szCs w:val="24"/>
                <w:lang w:val="uk-UA"/>
              </w:rPr>
              <w:t>01.01.</w:t>
            </w:r>
          </w:p>
        </w:tc>
        <w:tc>
          <w:tcPr>
            <w:tcW w:w="2393" w:type="dxa"/>
            <w:vMerge/>
          </w:tcPr>
          <w:p w:rsidR="00980A99" w:rsidRPr="004B34A7" w:rsidRDefault="00980A99" w:rsidP="004B34A7">
            <w:pPr>
              <w:spacing w:after="0" w:line="360" w:lineRule="auto"/>
              <w:ind w:right="142"/>
              <w:jc w:val="both"/>
              <w:rPr>
                <w:rFonts w:ascii="Times New Roman" w:hAnsi="Times New Roman"/>
                <w:sz w:val="28"/>
                <w:szCs w:val="28"/>
                <w:lang w:val="uk-UA"/>
              </w:rPr>
            </w:pP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млн. дол. США</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 у загальному обсязі ПІІ в економіці України</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2010</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38992,9</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2087,7</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5,3</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2011</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45370,0</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2716,8</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6,0</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2012</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48197,6</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2814,2</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5,8</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2013</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51705,3</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2174,3</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4,2</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2014</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53704,0</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2131,9</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4,0</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2015</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40725,4</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1728,8</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4,2</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2016</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36154,5</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1554,6</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4,3</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2017</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37513,6</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639,0</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1,7</w:t>
            </w:r>
          </w:p>
        </w:tc>
      </w:tr>
      <w:tr w:rsidR="00980A99" w:rsidRPr="004B34A7" w:rsidTr="004B34A7">
        <w:tc>
          <w:tcPr>
            <w:tcW w:w="2392"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31.12.2017</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39144,0</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658,2</w:t>
            </w:r>
          </w:p>
        </w:tc>
        <w:tc>
          <w:tcPr>
            <w:tcW w:w="2393" w:type="dxa"/>
          </w:tcPr>
          <w:p w:rsidR="00980A99" w:rsidRPr="004B34A7" w:rsidRDefault="00980A99" w:rsidP="004B34A7">
            <w:pPr>
              <w:spacing w:after="0" w:line="360" w:lineRule="auto"/>
              <w:ind w:right="142"/>
              <w:jc w:val="center"/>
              <w:rPr>
                <w:rFonts w:ascii="Times New Roman" w:hAnsi="Times New Roman"/>
                <w:sz w:val="24"/>
                <w:szCs w:val="24"/>
                <w:lang w:val="uk-UA"/>
              </w:rPr>
            </w:pPr>
            <w:r w:rsidRPr="004B34A7">
              <w:rPr>
                <w:rFonts w:ascii="Times New Roman" w:hAnsi="Times New Roman"/>
                <w:sz w:val="24"/>
                <w:szCs w:val="24"/>
                <w:lang w:val="uk-UA"/>
              </w:rPr>
              <w:t>1,7</w:t>
            </w:r>
          </w:p>
        </w:tc>
      </w:tr>
    </w:tbl>
    <w:p w:rsidR="00980A99" w:rsidRDefault="00980A99" w:rsidP="005D1D06">
      <w:pPr>
        <w:spacing w:after="0" w:line="360" w:lineRule="auto"/>
        <w:ind w:right="142"/>
        <w:jc w:val="both"/>
        <w:rPr>
          <w:rFonts w:ascii="Times New Roman" w:hAnsi="Times New Roman"/>
          <w:sz w:val="28"/>
          <w:szCs w:val="28"/>
          <w:lang w:val="uk-UA"/>
        </w:rPr>
      </w:pPr>
    </w:p>
    <w:p w:rsidR="00980A99" w:rsidRDefault="00980A99" w:rsidP="00A54366">
      <w:pPr>
        <w:spacing w:after="0" w:line="240" w:lineRule="auto"/>
        <w:ind w:right="142"/>
        <w:jc w:val="both"/>
        <w:rPr>
          <w:rFonts w:ascii="Times New Roman" w:hAnsi="Times New Roman"/>
          <w:sz w:val="28"/>
          <w:szCs w:val="28"/>
          <w:lang w:val="uk-UA"/>
        </w:rPr>
      </w:pPr>
      <w:r>
        <w:rPr>
          <w:rFonts w:ascii="Times New Roman" w:hAnsi="Times New Roman"/>
          <w:sz w:val="28"/>
          <w:szCs w:val="28"/>
          <w:lang w:val="uk-UA"/>
        </w:rPr>
        <w:tab/>
      </w:r>
      <w:r w:rsidRPr="001617FE">
        <w:rPr>
          <w:rFonts w:ascii="Times New Roman" w:hAnsi="Times New Roman"/>
          <w:i/>
          <w:sz w:val="28"/>
          <w:szCs w:val="28"/>
          <w:lang w:val="uk-UA"/>
        </w:rPr>
        <w:t xml:space="preserve">Джерело: розраховано авторами за даними Державної служби статистики України </w:t>
      </w:r>
      <w:r w:rsidRPr="001617FE">
        <w:rPr>
          <w:rFonts w:ascii="Times New Roman" w:hAnsi="Times New Roman"/>
          <w:i/>
          <w:sz w:val="28"/>
          <w:szCs w:val="28"/>
        </w:rPr>
        <w:t>[</w:t>
      </w:r>
      <w:r>
        <w:rPr>
          <w:rFonts w:ascii="Times New Roman" w:hAnsi="Times New Roman"/>
          <w:i/>
          <w:sz w:val="28"/>
          <w:szCs w:val="28"/>
          <w:lang w:val="uk-UA"/>
        </w:rPr>
        <w:t>3</w:t>
      </w:r>
      <w:r w:rsidRPr="001617FE">
        <w:rPr>
          <w:rFonts w:ascii="Times New Roman" w:hAnsi="Times New Roman"/>
          <w:i/>
          <w:sz w:val="28"/>
          <w:szCs w:val="28"/>
        </w:rPr>
        <w:t>]</w:t>
      </w:r>
      <w:r w:rsidRPr="001617FE">
        <w:rPr>
          <w:rFonts w:ascii="Times New Roman" w:hAnsi="Times New Roman"/>
          <w:i/>
          <w:sz w:val="28"/>
          <w:szCs w:val="28"/>
          <w:lang w:val="uk-UA"/>
        </w:rPr>
        <w:t>.</w:t>
      </w:r>
    </w:p>
    <w:p w:rsidR="00980A99" w:rsidRDefault="00980A99" w:rsidP="001D6603">
      <w:pPr>
        <w:spacing w:after="0" w:line="360" w:lineRule="auto"/>
        <w:ind w:right="142" w:firstLine="709"/>
        <w:jc w:val="both"/>
        <w:rPr>
          <w:rFonts w:ascii="Times New Roman" w:hAnsi="Times New Roman"/>
          <w:sz w:val="28"/>
          <w:szCs w:val="28"/>
          <w:lang w:val="uk-UA"/>
        </w:rPr>
      </w:pPr>
    </w:p>
    <w:p w:rsidR="00980A99" w:rsidRDefault="00980A99" w:rsidP="00E245DF">
      <w:pPr>
        <w:spacing w:after="0" w:line="360" w:lineRule="auto"/>
        <w:ind w:right="142" w:firstLine="709"/>
        <w:jc w:val="both"/>
        <w:rPr>
          <w:rFonts w:ascii="Times New Roman" w:hAnsi="Times New Roman"/>
          <w:sz w:val="28"/>
          <w:szCs w:val="28"/>
          <w:lang w:val="uk-UA"/>
        </w:rPr>
      </w:pPr>
      <w:r w:rsidRPr="00E244A1">
        <w:rPr>
          <w:rFonts w:ascii="Times New Roman" w:hAnsi="Times New Roman"/>
          <w:sz w:val="28"/>
          <w:szCs w:val="28"/>
          <w:lang w:val="uk-UA"/>
        </w:rPr>
        <w:t>Отже, як свідчать статистичні дані, якщо станом на 1 січня 2010 року обсяг прямих іноземних інвестицій в економіці Харківської області складав 5,3% від загального обсягу ПІІ в Україні, то на</w:t>
      </w:r>
      <w:r w:rsidRPr="00E244A1">
        <w:rPr>
          <w:rFonts w:ascii="Times New Roman" w:hAnsi="Times New Roman"/>
          <w:sz w:val="28"/>
          <w:szCs w:val="28"/>
        </w:rPr>
        <w:t> </w:t>
      </w:r>
      <w:r w:rsidRPr="00E244A1">
        <w:rPr>
          <w:rFonts w:ascii="Times New Roman" w:hAnsi="Times New Roman"/>
          <w:sz w:val="28"/>
          <w:szCs w:val="28"/>
          <w:lang w:val="uk-UA"/>
        </w:rPr>
        <w:t>31.12.2017 р</w:t>
      </w:r>
      <w:r>
        <w:rPr>
          <w:rFonts w:ascii="Times New Roman" w:hAnsi="Times New Roman"/>
          <w:sz w:val="28"/>
          <w:szCs w:val="28"/>
          <w:lang w:val="uk-UA"/>
        </w:rPr>
        <w:t>. цей показник знизився до 1,7%, тобто більше, ніж у 3,5 рази.</w:t>
      </w:r>
    </w:p>
    <w:p w:rsidR="00980A99" w:rsidRPr="00E245DF" w:rsidRDefault="00980A99" w:rsidP="00E245DF">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Слід зазначити, що Харківська область потенційно є одним із найбільш інвестиційно привабливих регіонів України. Факторами її інвестиційної привабливості виступають висока якість людського капіталу, традиції індустріального виробництва, наявність розгалуженої промислової та транспортної інфраструктури, високий загальний ступінь зносу основних фондів, що істотно знижує конкурентні бар’</w:t>
      </w:r>
      <w:r w:rsidRPr="00E245DF">
        <w:rPr>
          <w:rFonts w:ascii="Times New Roman" w:hAnsi="Times New Roman"/>
          <w:sz w:val="28"/>
          <w:szCs w:val="28"/>
          <w:lang w:val="uk-UA"/>
        </w:rPr>
        <w:t>єри для корпоративного інвестора щодо виходу на ринок і ло</w:t>
      </w:r>
      <w:r>
        <w:rPr>
          <w:rFonts w:ascii="Times New Roman" w:hAnsi="Times New Roman"/>
          <w:sz w:val="28"/>
          <w:szCs w:val="28"/>
          <w:lang w:val="uk-UA"/>
        </w:rPr>
        <w:t>калізації сучасного виробництва [7, с. с. 3, 75].</w:t>
      </w:r>
    </w:p>
    <w:p w:rsidR="00980A99" w:rsidRPr="008F40A6" w:rsidRDefault="00980A99" w:rsidP="00E245DF">
      <w:pPr>
        <w:spacing w:after="0" w:line="360" w:lineRule="auto"/>
        <w:ind w:right="142" w:firstLine="709"/>
        <w:jc w:val="both"/>
        <w:rPr>
          <w:rFonts w:ascii="Times New Roman" w:hAnsi="Times New Roman"/>
          <w:sz w:val="28"/>
          <w:szCs w:val="28"/>
          <w:lang w:val="uk-UA"/>
        </w:rPr>
      </w:pPr>
      <w:r>
        <w:rPr>
          <w:rFonts w:ascii="Times New Roman" w:hAnsi="Times New Roman"/>
          <w:sz w:val="28"/>
          <w:szCs w:val="28"/>
          <w:lang w:val="uk-UA"/>
        </w:rPr>
        <w:t>Значне зменшення частки прямих іноземних інвестицій, залучених в економіку Харківської області, у загальному їх обсязі в економіці України пов’</w:t>
      </w:r>
      <w:r w:rsidRPr="00517A3E">
        <w:rPr>
          <w:rFonts w:ascii="Times New Roman" w:hAnsi="Times New Roman"/>
          <w:sz w:val="28"/>
          <w:szCs w:val="28"/>
          <w:lang w:val="uk-UA"/>
        </w:rPr>
        <w:t>язано</w:t>
      </w:r>
      <w:r>
        <w:rPr>
          <w:rFonts w:ascii="Times New Roman" w:hAnsi="Times New Roman"/>
          <w:sz w:val="28"/>
          <w:szCs w:val="28"/>
          <w:lang w:val="uk-UA"/>
        </w:rPr>
        <w:t xml:space="preserve"> в першу чергу зі збройним конфліктом на Сході України, адже Харківщина має спільні кордони з Луганською і Донецькою областями, що збільшує потенційні ризики для іноземних інвесторів, а також із тим, що протягом тривалого часу, враховуючи</w:t>
      </w:r>
      <w:r w:rsidRPr="00FE268D">
        <w:rPr>
          <w:rFonts w:ascii="Times New Roman" w:hAnsi="Times New Roman"/>
          <w:sz w:val="28"/>
          <w:szCs w:val="28"/>
          <w:lang w:val="uk-UA"/>
        </w:rPr>
        <w:t xml:space="preserve"> </w:t>
      </w:r>
      <w:r>
        <w:rPr>
          <w:rFonts w:ascii="Times New Roman" w:hAnsi="Times New Roman"/>
          <w:sz w:val="28"/>
          <w:szCs w:val="28"/>
          <w:lang w:val="uk-UA"/>
        </w:rPr>
        <w:t>прикордонний статус області, її промисловий комплекс був зорієнтований на ринок Росії, розрив господарських зв’</w:t>
      </w:r>
      <w:r w:rsidRPr="008F40A6">
        <w:rPr>
          <w:rFonts w:ascii="Times New Roman" w:hAnsi="Times New Roman"/>
          <w:sz w:val="28"/>
          <w:szCs w:val="28"/>
          <w:lang w:val="uk-UA"/>
        </w:rPr>
        <w:t>язків із якою суттєво вплинув на динаміку</w:t>
      </w:r>
      <w:r>
        <w:rPr>
          <w:rFonts w:ascii="Times New Roman" w:hAnsi="Times New Roman"/>
          <w:sz w:val="28"/>
          <w:szCs w:val="28"/>
          <w:lang w:val="uk-UA"/>
        </w:rPr>
        <w:t xml:space="preserve"> прямих</w:t>
      </w:r>
      <w:r w:rsidRPr="008F40A6">
        <w:rPr>
          <w:rFonts w:ascii="Times New Roman" w:hAnsi="Times New Roman"/>
          <w:sz w:val="28"/>
          <w:szCs w:val="28"/>
          <w:lang w:val="uk-UA"/>
        </w:rPr>
        <w:t xml:space="preserve"> іноземних інвестицій</w:t>
      </w:r>
      <w:r>
        <w:rPr>
          <w:rFonts w:ascii="Times New Roman" w:hAnsi="Times New Roman"/>
          <w:sz w:val="28"/>
          <w:szCs w:val="28"/>
          <w:lang w:val="uk-UA"/>
        </w:rPr>
        <w:t xml:space="preserve"> в економіку області</w:t>
      </w:r>
      <w:r w:rsidRPr="008F40A6">
        <w:rPr>
          <w:rFonts w:ascii="Times New Roman" w:hAnsi="Times New Roman"/>
          <w:sz w:val="28"/>
          <w:szCs w:val="28"/>
          <w:lang w:val="uk-UA"/>
        </w:rPr>
        <w:t>.</w:t>
      </w:r>
    </w:p>
    <w:p w:rsidR="00980A99" w:rsidRPr="00D434D8" w:rsidRDefault="00980A99" w:rsidP="00391564">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val="uk-UA" w:eastAsia="ru-RU"/>
        </w:rPr>
        <w:t>За інформацією Головного управління статистики у Харківській області [5], у</w:t>
      </w:r>
      <w:r w:rsidRPr="001F4F28">
        <w:rPr>
          <w:rFonts w:ascii="Times New Roman" w:hAnsi="Times New Roman"/>
          <w:sz w:val="28"/>
          <w:szCs w:val="28"/>
          <w:lang w:val="uk-UA" w:eastAsia="ru-RU"/>
        </w:rPr>
        <w:t xml:space="preserve"> 2017 р. в економіку області інозе</w:t>
      </w:r>
      <w:r>
        <w:rPr>
          <w:rFonts w:ascii="Times New Roman" w:hAnsi="Times New Roman"/>
          <w:sz w:val="28"/>
          <w:szCs w:val="28"/>
          <w:lang w:val="uk-UA" w:eastAsia="ru-RU"/>
        </w:rPr>
        <w:t>мними інвесторами вкладено 39,4 </w:t>
      </w:r>
      <w:r w:rsidRPr="001F4F28">
        <w:rPr>
          <w:rFonts w:ascii="Times New Roman" w:hAnsi="Times New Roman"/>
          <w:sz w:val="28"/>
          <w:szCs w:val="28"/>
          <w:lang w:val="uk-UA" w:eastAsia="ru-RU"/>
        </w:rPr>
        <w:t xml:space="preserve">млн. дол. </w:t>
      </w:r>
      <w:r>
        <w:rPr>
          <w:rFonts w:ascii="Times New Roman" w:hAnsi="Times New Roman"/>
          <w:sz w:val="28"/>
          <w:szCs w:val="28"/>
          <w:lang w:val="uk-UA" w:eastAsia="ru-RU"/>
        </w:rPr>
        <w:t>прямих інвестицій (у тому числі в економіку м. Харкова – 24,5 млн. дол. </w:t>
      </w:r>
      <w:r w:rsidRPr="001F4F28">
        <w:rPr>
          <w:rFonts w:ascii="Times New Roman" w:hAnsi="Times New Roman"/>
          <w:sz w:val="28"/>
          <w:szCs w:val="28"/>
          <w:lang w:val="uk-UA" w:eastAsia="ru-RU"/>
        </w:rPr>
        <w:t>США</w:t>
      </w:r>
      <w:r>
        <w:rPr>
          <w:rFonts w:ascii="Times New Roman" w:hAnsi="Times New Roman"/>
          <w:sz w:val="28"/>
          <w:szCs w:val="28"/>
          <w:lang w:val="uk-UA" w:eastAsia="ru-RU"/>
        </w:rPr>
        <w:t xml:space="preserve">) проти </w:t>
      </w:r>
      <w:r w:rsidRPr="00D434D8">
        <w:rPr>
          <w:rFonts w:ascii="Times New Roman" w:hAnsi="Times New Roman"/>
          <w:sz w:val="28"/>
          <w:szCs w:val="28"/>
          <w:lang w:eastAsia="ru-RU"/>
        </w:rPr>
        <w:t>147,8 млн.</w:t>
      </w:r>
      <w:r>
        <w:rPr>
          <w:rFonts w:ascii="Times New Roman" w:hAnsi="Times New Roman"/>
          <w:sz w:val="28"/>
          <w:szCs w:val="28"/>
          <w:lang w:val="uk-UA" w:eastAsia="ru-RU"/>
        </w:rPr>
        <w:t xml:space="preserve"> </w:t>
      </w:r>
      <w:r w:rsidRPr="00D434D8">
        <w:rPr>
          <w:rFonts w:ascii="Times New Roman" w:hAnsi="Times New Roman"/>
          <w:sz w:val="28"/>
          <w:szCs w:val="28"/>
          <w:lang w:eastAsia="ru-RU"/>
        </w:rPr>
        <w:t>дол. США</w:t>
      </w:r>
      <w:r>
        <w:rPr>
          <w:rFonts w:ascii="Times New Roman" w:hAnsi="Times New Roman"/>
          <w:sz w:val="28"/>
          <w:szCs w:val="28"/>
          <w:lang w:val="uk-UA" w:eastAsia="ru-RU"/>
        </w:rPr>
        <w:t>, вкладених іноземними інвесторами в економіку області в</w:t>
      </w:r>
      <w:r w:rsidRPr="00D434D8">
        <w:rPr>
          <w:rFonts w:ascii="Times New Roman" w:hAnsi="Times New Roman"/>
          <w:sz w:val="28"/>
          <w:szCs w:val="28"/>
          <w:lang w:eastAsia="ru-RU"/>
        </w:rPr>
        <w:t xml:space="preserve"> 2016 році </w:t>
      </w:r>
      <w:r>
        <w:rPr>
          <w:rFonts w:ascii="Times New Roman" w:hAnsi="Times New Roman"/>
          <w:sz w:val="28"/>
          <w:szCs w:val="28"/>
          <w:lang w:val="uk-UA" w:eastAsia="ru-RU"/>
        </w:rPr>
        <w:t xml:space="preserve">і </w:t>
      </w:r>
      <w:r w:rsidRPr="00D434D8">
        <w:rPr>
          <w:rFonts w:ascii="Times New Roman" w:hAnsi="Times New Roman"/>
          <w:sz w:val="28"/>
          <w:szCs w:val="28"/>
          <w:lang w:eastAsia="ru-RU"/>
        </w:rPr>
        <w:t>15,7 млн.</w:t>
      </w:r>
      <w:r>
        <w:rPr>
          <w:rFonts w:ascii="Times New Roman" w:hAnsi="Times New Roman"/>
          <w:sz w:val="28"/>
          <w:szCs w:val="28"/>
          <w:lang w:val="uk-UA" w:eastAsia="ru-RU"/>
        </w:rPr>
        <w:t> </w:t>
      </w:r>
      <w:r w:rsidRPr="00D434D8">
        <w:rPr>
          <w:rFonts w:ascii="Times New Roman" w:hAnsi="Times New Roman"/>
          <w:sz w:val="28"/>
          <w:szCs w:val="28"/>
          <w:lang w:eastAsia="ru-RU"/>
        </w:rPr>
        <w:t>дол.</w:t>
      </w:r>
      <w:r>
        <w:rPr>
          <w:rFonts w:ascii="Times New Roman" w:hAnsi="Times New Roman"/>
          <w:sz w:val="28"/>
          <w:szCs w:val="28"/>
          <w:lang w:val="uk-UA" w:eastAsia="ru-RU"/>
        </w:rPr>
        <w:t xml:space="preserve"> – </w:t>
      </w:r>
      <w:r w:rsidRPr="00D434D8">
        <w:rPr>
          <w:rFonts w:ascii="Times New Roman" w:hAnsi="Times New Roman"/>
          <w:sz w:val="28"/>
          <w:szCs w:val="28"/>
          <w:lang w:eastAsia="ru-RU"/>
        </w:rPr>
        <w:t>у 2015 році.</w:t>
      </w:r>
    </w:p>
    <w:p w:rsidR="00980A99" w:rsidRDefault="00980A99" w:rsidP="001F4F28">
      <w:pPr>
        <w:spacing w:after="0" w:line="360" w:lineRule="auto"/>
        <w:ind w:firstLine="709"/>
        <w:jc w:val="both"/>
        <w:rPr>
          <w:rFonts w:ascii="Times New Roman" w:hAnsi="Times New Roman"/>
          <w:sz w:val="28"/>
          <w:szCs w:val="28"/>
          <w:lang w:val="uk-UA" w:eastAsia="ru-RU"/>
        </w:rPr>
      </w:pPr>
      <w:r w:rsidRPr="007A064A">
        <w:rPr>
          <w:rFonts w:ascii="Times New Roman" w:hAnsi="Times New Roman"/>
          <w:sz w:val="28"/>
          <w:szCs w:val="28"/>
          <w:lang w:val="uk-UA" w:eastAsia="ru-RU"/>
        </w:rPr>
        <w:t xml:space="preserve"> </w:t>
      </w:r>
      <w:r>
        <w:rPr>
          <w:rFonts w:ascii="Times New Roman" w:hAnsi="Times New Roman"/>
          <w:sz w:val="28"/>
          <w:szCs w:val="28"/>
          <w:lang w:val="uk-UA" w:eastAsia="ru-RU"/>
        </w:rPr>
        <w:t>Сукупний обсяг прямих іноземних інвестицій (акціонерного капіталу) в економіці області станом на 31.12.2017 р. становить 658,2 млн. дол. </w:t>
      </w:r>
      <w:r w:rsidRPr="001F4F28">
        <w:rPr>
          <w:rFonts w:ascii="Times New Roman" w:hAnsi="Times New Roman"/>
          <w:sz w:val="28"/>
          <w:szCs w:val="28"/>
          <w:lang w:val="uk-UA" w:eastAsia="ru-RU"/>
        </w:rPr>
        <w:t>США</w:t>
      </w:r>
      <w:r>
        <w:rPr>
          <w:rFonts w:ascii="Times New Roman" w:hAnsi="Times New Roman"/>
          <w:sz w:val="28"/>
          <w:szCs w:val="28"/>
          <w:lang w:val="uk-UA" w:eastAsia="ru-RU"/>
        </w:rPr>
        <w:t>.</w:t>
      </w:r>
    </w:p>
    <w:p w:rsidR="00980A99" w:rsidRPr="00D96133" w:rsidRDefault="00980A99" w:rsidP="001F4F28">
      <w:pPr>
        <w:spacing w:after="0" w:line="360" w:lineRule="auto"/>
        <w:ind w:firstLine="709"/>
        <w:jc w:val="both"/>
        <w:rPr>
          <w:rFonts w:ascii="Times New Roman" w:hAnsi="Times New Roman"/>
          <w:sz w:val="28"/>
          <w:szCs w:val="28"/>
          <w:lang w:val="uk-UA" w:eastAsia="ru-RU"/>
        </w:rPr>
      </w:pPr>
      <w:r w:rsidRPr="001F4F28">
        <w:rPr>
          <w:rFonts w:ascii="Times New Roman" w:hAnsi="Times New Roman"/>
          <w:sz w:val="28"/>
          <w:szCs w:val="28"/>
          <w:lang w:val="uk-UA" w:eastAsia="ru-RU"/>
        </w:rPr>
        <w:t xml:space="preserve">Інвестиції надійшли із 61 країни світу. До десятки основних країн-інвесторів, на які припадає 88,5% загального обсягу прямих інвестицій, входять: </w:t>
      </w:r>
      <w:r>
        <w:rPr>
          <w:rFonts w:ascii="Times New Roman" w:hAnsi="Times New Roman"/>
          <w:sz w:val="28"/>
          <w:szCs w:val="28"/>
          <w:lang w:val="uk-UA" w:eastAsia="ru-RU"/>
        </w:rPr>
        <w:t>Кіпр – 293,3 млн. дол., В</w:t>
      </w:r>
      <w:r w:rsidRPr="001F4F28">
        <w:rPr>
          <w:rFonts w:ascii="Times New Roman" w:hAnsi="Times New Roman"/>
          <w:sz w:val="28"/>
          <w:szCs w:val="28"/>
          <w:lang w:val="uk-UA" w:eastAsia="ru-RU"/>
        </w:rPr>
        <w:t xml:space="preserve">елика Британія – 93,8 млн. дол., Вірґінські Острови (Брит.) – 47,1 млн. дол., Швейцарія – 29,7 млн. дол., </w:t>
      </w:r>
      <w:r>
        <w:rPr>
          <w:rFonts w:ascii="Times New Roman" w:hAnsi="Times New Roman"/>
          <w:sz w:val="28"/>
          <w:szCs w:val="28"/>
          <w:lang w:val="uk-UA" w:eastAsia="ru-RU"/>
        </w:rPr>
        <w:t>Російська Федерація – 28,1 млн. </w:t>
      </w:r>
      <w:r w:rsidRPr="001F4F28">
        <w:rPr>
          <w:rFonts w:ascii="Times New Roman" w:hAnsi="Times New Roman"/>
          <w:sz w:val="28"/>
          <w:szCs w:val="28"/>
          <w:lang w:val="uk-UA" w:eastAsia="ru-RU"/>
        </w:rPr>
        <w:t>дол., Нідерланди – 23,</w:t>
      </w:r>
      <w:r>
        <w:rPr>
          <w:rFonts w:ascii="Times New Roman" w:hAnsi="Times New Roman"/>
          <w:sz w:val="28"/>
          <w:szCs w:val="28"/>
          <w:lang w:val="uk-UA" w:eastAsia="ru-RU"/>
        </w:rPr>
        <w:t>5 млн. дол., Польща – 20,4 млн. </w:t>
      </w:r>
      <w:r w:rsidRPr="001F4F28">
        <w:rPr>
          <w:rFonts w:ascii="Times New Roman" w:hAnsi="Times New Roman"/>
          <w:sz w:val="28"/>
          <w:szCs w:val="28"/>
          <w:lang w:val="uk-UA" w:eastAsia="ru-RU"/>
        </w:rPr>
        <w:t>дол., США – 16,7 млн. дол., Панама</w:t>
      </w:r>
      <w:r>
        <w:rPr>
          <w:rFonts w:ascii="Times New Roman" w:hAnsi="Times New Roman"/>
          <w:sz w:val="28"/>
          <w:szCs w:val="28"/>
          <w:lang w:val="uk-UA" w:eastAsia="ru-RU"/>
        </w:rPr>
        <w:t xml:space="preserve"> – 15,5 млн. дол., Беліз – 14,6 млн. </w:t>
      </w:r>
      <w:r w:rsidRPr="001F4F28">
        <w:rPr>
          <w:rFonts w:ascii="Times New Roman" w:hAnsi="Times New Roman"/>
          <w:sz w:val="28"/>
          <w:szCs w:val="28"/>
          <w:lang w:val="uk-UA" w:eastAsia="ru-RU"/>
        </w:rPr>
        <w:t>дол.</w:t>
      </w:r>
      <w:r w:rsidRPr="006D3E1C">
        <w:rPr>
          <w:rFonts w:ascii="Times New Roman" w:hAnsi="Times New Roman"/>
          <w:sz w:val="28"/>
          <w:szCs w:val="28"/>
          <w:lang w:val="uk-UA" w:eastAsia="ru-RU"/>
        </w:rPr>
        <w:t xml:space="preserve"> </w:t>
      </w:r>
      <w:r>
        <w:rPr>
          <w:rFonts w:ascii="Times New Roman" w:hAnsi="Times New Roman"/>
          <w:sz w:val="28"/>
          <w:szCs w:val="28"/>
          <w:lang w:val="uk-UA" w:eastAsia="ru-RU"/>
        </w:rPr>
        <w:t>При цьому з</w:t>
      </w:r>
      <w:r w:rsidRPr="001F4F28">
        <w:rPr>
          <w:rFonts w:ascii="Times New Roman" w:hAnsi="Times New Roman"/>
          <w:sz w:val="28"/>
          <w:szCs w:val="28"/>
          <w:lang w:val="uk-UA" w:eastAsia="ru-RU"/>
        </w:rPr>
        <w:t xml:space="preserve"> країн ЄС вкладен</w:t>
      </w:r>
      <w:r>
        <w:rPr>
          <w:rFonts w:ascii="Times New Roman" w:hAnsi="Times New Roman"/>
          <w:sz w:val="28"/>
          <w:szCs w:val="28"/>
          <w:lang w:val="uk-UA" w:eastAsia="ru-RU"/>
        </w:rPr>
        <w:t>о 479,5 млн. дол. інвестицій (72,9 %), з </w:t>
      </w:r>
      <w:r w:rsidRPr="001F4F28">
        <w:rPr>
          <w:rFonts w:ascii="Times New Roman" w:hAnsi="Times New Roman"/>
          <w:sz w:val="28"/>
          <w:szCs w:val="28"/>
          <w:lang w:val="uk-UA" w:eastAsia="ru-RU"/>
        </w:rPr>
        <w:t>інших країн світу – 178,7 млн. дол.</w:t>
      </w:r>
      <w:r>
        <w:rPr>
          <w:rFonts w:ascii="Times New Roman" w:hAnsi="Times New Roman"/>
          <w:sz w:val="28"/>
          <w:szCs w:val="28"/>
          <w:lang w:val="uk-UA" w:eastAsia="ru-RU"/>
        </w:rPr>
        <w:t xml:space="preserve"> США </w:t>
      </w:r>
      <w:r w:rsidRPr="00F362AE">
        <w:rPr>
          <w:rFonts w:ascii="Times New Roman" w:hAnsi="Times New Roman"/>
          <w:sz w:val="28"/>
          <w:szCs w:val="28"/>
          <w:lang w:val="uk-UA" w:eastAsia="ru-RU"/>
        </w:rPr>
        <w:t>[</w:t>
      </w:r>
      <w:r>
        <w:rPr>
          <w:rFonts w:ascii="Times New Roman" w:hAnsi="Times New Roman"/>
          <w:sz w:val="28"/>
          <w:szCs w:val="28"/>
          <w:lang w:val="uk-UA" w:eastAsia="ru-RU"/>
        </w:rPr>
        <w:t>5</w:t>
      </w:r>
      <w:r w:rsidRPr="00F362AE">
        <w:rPr>
          <w:rFonts w:ascii="Times New Roman" w:hAnsi="Times New Roman"/>
          <w:sz w:val="28"/>
          <w:szCs w:val="28"/>
          <w:lang w:val="uk-UA" w:eastAsia="ru-RU"/>
        </w:rPr>
        <w:t>]</w:t>
      </w:r>
      <w:r>
        <w:rPr>
          <w:rFonts w:ascii="Times New Roman" w:hAnsi="Times New Roman"/>
          <w:sz w:val="28"/>
          <w:szCs w:val="28"/>
          <w:lang w:val="uk-UA" w:eastAsia="ru-RU"/>
        </w:rPr>
        <w:t>.</w:t>
      </w:r>
    </w:p>
    <w:p w:rsidR="00980A99" w:rsidRPr="00144767" w:rsidRDefault="00980A99" w:rsidP="0014476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в географічній структурі залучених в економіку Харківської області прямих іноземних інвестицій переважають інвестиції з Кіпру, Віргінських островів, Белізу – трьох «класичних» офшорних зон</w:t>
      </w:r>
      <w:r w:rsidRPr="005E5A3A">
        <w:rPr>
          <w:rFonts w:ascii="Times New Roman" w:hAnsi="Times New Roman"/>
          <w:sz w:val="28"/>
          <w:szCs w:val="28"/>
          <w:lang w:val="uk-UA" w:eastAsia="ru-RU"/>
        </w:rPr>
        <w:t>.</w:t>
      </w:r>
      <w:r>
        <w:rPr>
          <w:rFonts w:ascii="Times New Roman" w:hAnsi="Times New Roman"/>
          <w:sz w:val="28"/>
          <w:szCs w:val="28"/>
          <w:lang w:val="uk-UA" w:eastAsia="ru-RU"/>
        </w:rPr>
        <w:t xml:space="preserve">  На думку експертів, більшість інвестицій з офшорів в Україні – це реінвестований український капітал, власники якого використовують компанії у Кіпрі та інших офшорах для оптимізації оподаткування. Нідерланди завдяки сприятливим податковим умовам також діють як офшор і вважаються одним з найбільших джерел інвестицій у світі лише формально. Інвестиції із Нідерландів та Швейцарії – це переважно теж український капітал </w:t>
      </w:r>
      <w:r w:rsidRPr="00D7441F">
        <w:rPr>
          <w:rFonts w:ascii="Times New Roman" w:hAnsi="Times New Roman"/>
          <w:sz w:val="28"/>
          <w:szCs w:val="28"/>
          <w:lang w:val="uk-UA" w:eastAsia="ru-RU"/>
        </w:rPr>
        <w:t>[</w:t>
      </w:r>
      <w:r>
        <w:rPr>
          <w:rFonts w:ascii="Times New Roman" w:hAnsi="Times New Roman"/>
          <w:sz w:val="28"/>
          <w:szCs w:val="28"/>
          <w:lang w:val="uk-UA" w:eastAsia="ru-RU"/>
        </w:rPr>
        <w:t xml:space="preserve">1, с. 4- </w:t>
      </w:r>
      <w:r w:rsidRPr="00CE0860">
        <w:rPr>
          <w:rFonts w:ascii="Times New Roman" w:hAnsi="Times New Roman"/>
          <w:sz w:val="28"/>
          <w:szCs w:val="28"/>
          <w:lang w:val="uk-UA" w:eastAsia="ru-RU"/>
        </w:rPr>
        <w:t>6</w:t>
      </w:r>
      <w:r w:rsidRPr="00D7441F">
        <w:rPr>
          <w:rFonts w:ascii="Times New Roman" w:hAnsi="Times New Roman"/>
          <w:sz w:val="28"/>
          <w:szCs w:val="28"/>
          <w:lang w:val="uk-UA" w:eastAsia="ru-RU"/>
        </w:rPr>
        <w:t>]</w:t>
      </w:r>
      <w:r>
        <w:rPr>
          <w:rFonts w:ascii="Times New Roman" w:hAnsi="Times New Roman"/>
          <w:sz w:val="28"/>
          <w:szCs w:val="28"/>
          <w:lang w:val="uk-UA" w:eastAsia="ru-RU"/>
        </w:rPr>
        <w:t>.</w:t>
      </w:r>
    </w:p>
    <w:p w:rsidR="00980A99" w:rsidRDefault="00980A99" w:rsidP="00A54366">
      <w:pPr>
        <w:spacing w:after="0" w:line="360" w:lineRule="auto"/>
        <w:ind w:firstLine="709"/>
        <w:jc w:val="both"/>
        <w:rPr>
          <w:rFonts w:ascii="Times New Roman" w:hAnsi="Times New Roman"/>
          <w:sz w:val="28"/>
          <w:szCs w:val="28"/>
          <w:lang w:val="uk-UA" w:eastAsia="ru-RU"/>
        </w:rPr>
      </w:pPr>
      <w:r w:rsidRPr="001F4F28">
        <w:rPr>
          <w:rFonts w:ascii="Times New Roman" w:hAnsi="Times New Roman"/>
          <w:sz w:val="28"/>
          <w:szCs w:val="28"/>
          <w:lang w:val="uk-UA" w:eastAsia="ru-RU"/>
        </w:rPr>
        <w:t xml:space="preserve">Найвагоміші обсяги прямих </w:t>
      </w:r>
      <w:r>
        <w:rPr>
          <w:rFonts w:ascii="Times New Roman" w:hAnsi="Times New Roman"/>
          <w:sz w:val="28"/>
          <w:szCs w:val="28"/>
          <w:lang w:val="uk-UA" w:eastAsia="ru-RU"/>
        </w:rPr>
        <w:t xml:space="preserve">іноземних </w:t>
      </w:r>
      <w:r w:rsidRPr="001F4F28">
        <w:rPr>
          <w:rFonts w:ascii="Times New Roman" w:hAnsi="Times New Roman"/>
          <w:sz w:val="28"/>
          <w:szCs w:val="28"/>
          <w:lang w:val="uk-UA" w:eastAsia="ru-RU"/>
        </w:rPr>
        <w:t>інвестицій зосереджені на підприємствах промисловості – 213,1 млн. дол. (32,4% від загального обсягу); в організаціях, що здійснюють операції з нерухомим майном – 134,7 млн. дол. (20,5%); в установах фінансової та страхової діяльності – 132,3 млн. дол. (20,1%).</w:t>
      </w:r>
      <w:r>
        <w:rPr>
          <w:rFonts w:ascii="Times New Roman" w:hAnsi="Times New Roman"/>
          <w:sz w:val="28"/>
          <w:szCs w:val="28"/>
          <w:lang w:val="uk-UA" w:eastAsia="ru-RU"/>
        </w:rPr>
        <w:t xml:space="preserve"> За останні два роки значно зменшився обсяг ПІІ </w:t>
      </w:r>
      <w:r w:rsidRPr="001F4F28">
        <w:rPr>
          <w:rFonts w:ascii="Times New Roman" w:hAnsi="Times New Roman"/>
          <w:sz w:val="28"/>
          <w:szCs w:val="28"/>
          <w:lang w:val="uk-UA" w:eastAsia="ru-RU"/>
        </w:rPr>
        <w:t>в установах фінансової та страхової діяльності</w:t>
      </w:r>
      <w:r>
        <w:rPr>
          <w:rFonts w:ascii="Times New Roman" w:hAnsi="Times New Roman"/>
          <w:sz w:val="28"/>
          <w:szCs w:val="28"/>
          <w:lang w:val="uk-UA" w:eastAsia="ru-RU"/>
        </w:rPr>
        <w:t xml:space="preserve"> (на кінець 2015 року в них було акумульовано 979,7 млн. дол. ПІІ, що складало 62,4 % від загального їх обсягу в економіці області). Незначне збільшення сумарного обсягу прямих іноземних інвестицій за аналогічний період спостерігається на підприємствах промисловості, де на кінець 2015 року їх було акумульовано 257,4 млн. дол. (16,4 % від загального обсягу в економіці регіону) і в </w:t>
      </w:r>
      <w:r w:rsidRPr="001F4F28">
        <w:rPr>
          <w:rFonts w:ascii="Times New Roman" w:hAnsi="Times New Roman"/>
          <w:sz w:val="28"/>
          <w:szCs w:val="28"/>
          <w:lang w:val="uk-UA" w:eastAsia="ru-RU"/>
        </w:rPr>
        <w:t>організаціях, що здійснюють операції з нерухомим майном</w:t>
      </w:r>
      <w:r>
        <w:rPr>
          <w:rFonts w:ascii="Times New Roman" w:hAnsi="Times New Roman"/>
          <w:sz w:val="28"/>
          <w:szCs w:val="28"/>
          <w:lang w:val="uk-UA" w:eastAsia="ru-RU"/>
        </w:rPr>
        <w:t xml:space="preserve">, – 128,8 млн. дол. (8,2 %) [5]. Ці галузі залишаються у трійці лідерів по залученню ПІІ в Харківський регіон. </w:t>
      </w:r>
    </w:p>
    <w:p w:rsidR="00980A99" w:rsidRPr="00301755" w:rsidRDefault="00980A99" w:rsidP="00A54366">
      <w:pPr>
        <w:spacing w:after="0" w:line="360" w:lineRule="auto"/>
        <w:ind w:firstLine="709"/>
        <w:jc w:val="both"/>
        <w:rPr>
          <w:rFonts w:ascii="Times New Roman" w:hAnsi="Times New Roman"/>
          <w:i/>
          <w:sz w:val="28"/>
          <w:szCs w:val="28"/>
          <w:lang w:val="uk-UA" w:eastAsia="ru-RU"/>
        </w:rPr>
      </w:pPr>
      <w:r>
        <w:rPr>
          <w:rFonts w:ascii="Times New Roman" w:hAnsi="Times New Roman"/>
          <w:sz w:val="28"/>
          <w:szCs w:val="28"/>
          <w:lang w:val="uk-UA" w:eastAsia="ru-RU"/>
        </w:rPr>
        <w:t>Слід зазначити, що у зв’</w:t>
      </w:r>
      <w:r w:rsidRPr="008F40A6">
        <w:rPr>
          <w:rFonts w:ascii="Times New Roman" w:hAnsi="Times New Roman"/>
          <w:sz w:val="28"/>
          <w:szCs w:val="28"/>
          <w:lang w:val="uk-UA" w:eastAsia="ru-RU"/>
        </w:rPr>
        <w:t xml:space="preserve">язку з </w:t>
      </w:r>
      <w:r>
        <w:rPr>
          <w:rFonts w:ascii="Times New Roman" w:hAnsi="Times New Roman"/>
          <w:sz w:val="28"/>
          <w:szCs w:val="28"/>
          <w:lang w:val="uk-UA" w:eastAsia="ru-RU"/>
        </w:rPr>
        <w:t xml:space="preserve">підписанням </w:t>
      </w:r>
      <w:r w:rsidRPr="008F40A6">
        <w:rPr>
          <w:rFonts w:ascii="Times New Roman" w:hAnsi="Times New Roman"/>
          <w:sz w:val="28"/>
          <w:szCs w:val="28"/>
          <w:lang w:val="uk-UA" w:eastAsia="ru-RU"/>
        </w:rPr>
        <w:t>Угод</w:t>
      </w:r>
      <w:r>
        <w:rPr>
          <w:rFonts w:ascii="Times New Roman" w:hAnsi="Times New Roman"/>
          <w:sz w:val="28"/>
          <w:szCs w:val="28"/>
          <w:lang w:val="uk-UA" w:eastAsia="ru-RU"/>
        </w:rPr>
        <w:t>и</w:t>
      </w:r>
      <w:r w:rsidRPr="008F40A6">
        <w:rPr>
          <w:rFonts w:ascii="Times New Roman" w:hAnsi="Times New Roman"/>
          <w:sz w:val="28"/>
          <w:szCs w:val="28"/>
          <w:lang w:val="uk-UA" w:eastAsia="ru-RU"/>
        </w:rPr>
        <w:t xml:space="preserve"> про асоціацію та зону вільної торгівлі </w:t>
      </w:r>
      <w:r>
        <w:rPr>
          <w:rFonts w:ascii="Times New Roman" w:hAnsi="Times New Roman"/>
          <w:sz w:val="28"/>
          <w:szCs w:val="28"/>
          <w:lang w:val="uk-UA" w:eastAsia="ru-RU"/>
        </w:rPr>
        <w:t xml:space="preserve">України </w:t>
      </w:r>
      <w:r w:rsidRPr="008F40A6">
        <w:rPr>
          <w:rFonts w:ascii="Times New Roman" w:hAnsi="Times New Roman"/>
          <w:sz w:val="28"/>
          <w:szCs w:val="28"/>
          <w:lang w:val="uk-UA" w:eastAsia="ru-RU"/>
        </w:rPr>
        <w:t>з Європейським Союзом</w:t>
      </w:r>
      <w:r>
        <w:rPr>
          <w:rFonts w:ascii="Times New Roman" w:hAnsi="Times New Roman"/>
          <w:sz w:val="28"/>
          <w:szCs w:val="28"/>
          <w:lang w:val="uk-UA" w:eastAsia="ru-RU"/>
        </w:rPr>
        <w:t xml:space="preserve"> з урахуванням наявного інвестиційного потенціалу області для Харківщини відкриваються можливості як для розширення ринків збуту та встановлення нових кооперативних зв’</w:t>
      </w:r>
      <w:r w:rsidRPr="008F40A6">
        <w:rPr>
          <w:rFonts w:ascii="Times New Roman" w:hAnsi="Times New Roman"/>
          <w:sz w:val="28"/>
          <w:szCs w:val="28"/>
          <w:lang w:val="uk-UA" w:eastAsia="ru-RU"/>
        </w:rPr>
        <w:t xml:space="preserve">язків, так і </w:t>
      </w:r>
      <w:r>
        <w:rPr>
          <w:rFonts w:ascii="Times New Roman" w:hAnsi="Times New Roman"/>
          <w:sz w:val="28"/>
          <w:szCs w:val="28"/>
          <w:lang w:val="uk-UA" w:eastAsia="ru-RU"/>
        </w:rPr>
        <w:t>для</w:t>
      </w:r>
      <w:r w:rsidRPr="008F40A6">
        <w:rPr>
          <w:rFonts w:ascii="Times New Roman" w:hAnsi="Times New Roman"/>
          <w:sz w:val="28"/>
          <w:szCs w:val="28"/>
          <w:lang w:val="uk-UA" w:eastAsia="ru-RU"/>
        </w:rPr>
        <w:t xml:space="preserve"> широкого залучення інвестицій</w:t>
      </w:r>
      <w:r>
        <w:rPr>
          <w:rFonts w:ascii="Times New Roman" w:hAnsi="Times New Roman"/>
          <w:sz w:val="28"/>
          <w:szCs w:val="28"/>
          <w:lang w:val="uk-UA" w:eastAsia="ru-RU"/>
        </w:rPr>
        <w:t xml:space="preserve"> у промисловість, агропромисловий сектор, житлово-комунальну інфраструктуру, енергетику, інші сфери реального сектору економіки [7</w:t>
      </w:r>
      <w:r w:rsidRPr="00115586">
        <w:rPr>
          <w:rFonts w:ascii="Times New Roman" w:hAnsi="Times New Roman"/>
          <w:sz w:val="28"/>
          <w:szCs w:val="28"/>
          <w:lang w:val="uk-UA" w:eastAsia="ru-RU"/>
        </w:rPr>
        <w:t>,</w:t>
      </w:r>
      <w:r>
        <w:rPr>
          <w:rFonts w:ascii="Times New Roman" w:hAnsi="Times New Roman"/>
          <w:sz w:val="28"/>
          <w:szCs w:val="28"/>
          <w:lang w:val="uk-UA" w:eastAsia="ru-RU"/>
        </w:rPr>
        <w:t xml:space="preserve"> с. </w:t>
      </w:r>
      <w:r w:rsidRPr="00115586">
        <w:rPr>
          <w:rFonts w:ascii="Times New Roman" w:hAnsi="Times New Roman"/>
          <w:sz w:val="28"/>
          <w:szCs w:val="28"/>
          <w:lang w:val="uk-UA" w:eastAsia="ru-RU"/>
        </w:rPr>
        <w:t>3</w:t>
      </w:r>
      <w:r>
        <w:rPr>
          <w:rFonts w:ascii="Times New Roman" w:hAnsi="Times New Roman"/>
          <w:sz w:val="28"/>
          <w:szCs w:val="28"/>
          <w:lang w:val="uk-UA" w:eastAsia="ru-RU"/>
        </w:rPr>
        <w:t>].</w:t>
      </w:r>
      <w:r w:rsidRPr="00A54366">
        <w:rPr>
          <w:rFonts w:ascii="Times New Roman" w:hAnsi="Times New Roman"/>
          <w:sz w:val="28"/>
          <w:szCs w:val="28"/>
          <w:lang w:val="uk-UA" w:eastAsia="ru-RU"/>
        </w:rPr>
        <w:t xml:space="preserve"> </w:t>
      </w:r>
      <w:r w:rsidRPr="000B596D">
        <w:rPr>
          <w:rFonts w:ascii="Times New Roman" w:hAnsi="Times New Roman"/>
          <w:sz w:val="28"/>
          <w:szCs w:val="28"/>
          <w:lang w:val="uk-UA" w:eastAsia="ru-RU"/>
        </w:rPr>
        <w:t>Однією із оперативних цілей, визначених «</w:t>
      </w:r>
      <w:r w:rsidRPr="000B596D">
        <w:rPr>
          <w:rFonts w:ascii="Times New Roman" w:hAnsi="Times New Roman"/>
          <w:sz w:val="28"/>
          <w:szCs w:val="28"/>
          <w:lang w:val="uk-UA"/>
        </w:rPr>
        <w:t>Стратегією розвитку Харківської області на період до 2020 року», є «диверсифікація зовнішніх ринків та географії залучення інвестицій, включення підприємств регіону до міжнародних технологічних ланцюгів і коопераційних мереж шляхом налагодження маркетингової діяльності за кордоном з використанням можливостей дипломатичних представництв України, бізнес-асоціацій, діаспори, а також політико-економічних кіл, зацікавлених у співпраці з Україною. Пріоритети: країни ЄС, США, Канада, Китай та інші країни Азії, країни Африки, Близького Сходу, Латинської Америки» [</w:t>
      </w:r>
      <w:r>
        <w:rPr>
          <w:rFonts w:ascii="Times New Roman" w:hAnsi="Times New Roman"/>
          <w:sz w:val="28"/>
          <w:szCs w:val="28"/>
          <w:lang w:val="uk-UA"/>
        </w:rPr>
        <w:t>7</w:t>
      </w:r>
      <w:r w:rsidRPr="000B596D">
        <w:rPr>
          <w:rFonts w:ascii="Times New Roman" w:hAnsi="Times New Roman"/>
          <w:sz w:val="28"/>
          <w:szCs w:val="28"/>
          <w:lang w:val="uk-UA"/>
        </w:rPr>
        <w:t>, с. 157].</w:t>
      </w:r>
    </w:p>
    <w:p w:rsidR="00980A99" w:rsidRPr="008420A6" w:rsidRDefault="00980A99" w:rsidP="008420A6">
      <w:pPr>
        <w:autoSpaceDE w:val="0"/>
        <w:autoSpaceDN w:val="0"/>
        <w:adjustRightInd w:val="0"/>
        <w:spacing w:after="0" w:line="360" w:lineRule="auto"/>
        <w:ind w:firstLine="709"/>
        <w:jc w:val="both"/>
        <w:rPr>
          <w:rFonts w:ascii="TimesNewRoman" w:hAnsi="TimesNewRoman" w:cs="TimesNewRoman"/>
          <w:sz w:val="20"/>
          <w:szCs w:val="20"/>
          <w:lang w:val="uk-UA"/>
        </w:rPr>
      </w:pPr>
      <w:r w:rsidRPr="00144767">
        <w:rPr>
          <w:rFonts w:ascii="Times New Roman" w:hAnsi="Times New Roman"/>
          <w:sz w:val="28"/>
          <w:szCs w:val="28"/>
          <w:lang w:val="uk-UA" w:eastAsia="ru-RU"/>
        </w:rPr>
        <w:t xml:space="preserve">Нерівномірним є розподіл </w:t>
      </w:r>
      <w:r>
        <w:rPr>
          <w:rFonts w:ascii="Times New Roman" w:hAnsi="Times New Roman"/>
          <w:sz w:val="28"/>
          <w:szCs w:val="28"/>
          <w:lang w:val="uk-UA" w:eastAsia="ru-RU"/>
        </w:rPr>
        <w:t>ПІІ по районах області. На підприємства м. </w:t>
      </w:r>
      <w:r w:rsidRPr="001F4F28">
        <w:rPr>
          <w:rFonts w:ascii="Times New Roman" w:hAnsi="Times New Roman"/>
          <w:sz w:val="28"/>
          <w:szCs w:val="28"/>
          <w:lang w:val="uk-UA" w:eastAsia="ru-RU"/>
        </w:rPr>
        <w:t xml:space="preserve">Харкова припадає 427,6 млн. дол. (65% від загального обсягу) прямих </w:t>
      </w:r>
      <w:r>
        <w:rPr>
          <w:rFonts w:ascii="Times New Roman" w:hAnsi="Times New Roman"/>
          <w:sz w:val="28"/>
          <w:szCs w:val="28"/>
          <w:lang w:val="uk-UA" w:eastAsia="ru-RU"/>
        </w:rPr>
        <w:t xml:space="preserve">іноземних </w:t>
      </w:r>
      <w:r w:rsidRPr="001F4F28">
        <w:rPr>
          <w:rFonts w:ascii="Times New Roman" w:hAnsi="Times New Roman"/>
          <w:sz w:val="28"/>
          <w:szCs w:val="28"/>
          <w:lang w:val="uk-UA" w:eastAsia="ru-RU"/>
        </w:rPr>
        <w:t>інвестицій області. По районах області най</w:t>
      </w:r>
      <w:r>
        <w:rPr>
          <w:rFonts w:ascii="Times New Roman" w:hAnsi="Times New Roman"/>
          <w:sz w:val="28"/>
          <w:szCs w:val="28"/>
          <w:lang w:val="uk-UA" w:eastAsia="ru-RU"/>
        </w:rPr>
        <w:t xml:space="preserve">більші вкладення у Харківському – </w:t>
      </w:r>
      <w:r w:rsidRPr="001F4F28">
        <w:rPr>
          <w:rFonts w:ascii="Times New Roman" w:hAnsi="Times New Roman"/>
          <w:sz w:val="28"/>
          <w:szCs w:val="28"/>
          <w:lang w:val="uk-UA" w:eastAsia="ru-RU"/>
        </w:rPr>
        <w:t>108,8 млн. дол. (16,5%), Чугуївському – 68,1 млн. дол. (10,3%) та Дергачі</w:t>
      </w:r>
      <w:r>
        <w:rPr>
          <w:rFonts w:ascii="Times New Roman" w:hAnsi="Times New Roman"/>
          <w:sz w:val="28"/>
          <w:szCs w:val="28"/>
          <w:lang w:val="uk-UA" w:eastAsia="ru-RU"/>
        </w:rPr>
        <w:t>вському – 30,4 млн. дол. (4,6%) [5]. Отже, 96,4 % прямих іноземних інвестицій сконцентровано у м. Харкові та прилеглих до нього районах області, що збільшує диспропорцію в соціально-економічному розвитку територій області. В той же час останні дослідження свідчать [4, с. 263], що інтегральна оцінка інвестиційної привабливості Харківської області (привабливість ринку, вартість і якість робочої сили, наявність необхідної інфраструктури, наявність природних ресурсів, безпека інвестиційної діяльності) демонструє наявність високого потенціалу для залучення прямих іноземних інвестицій на всій території області.</w:t>
      </w:r>
      <w:r w:rsidRPr="001650AE">
        <w:rPr>
          <w:rFonts w:ascii="TimesNewRoman" w:hAnsi="TimesNewRoman" w:cs="TimesNewRoman"/>
          <w:sz w:val="20"/>
          <w:szCs w:val="20"/>
          <w:lang w:val="uk-UA"/>
        </w:rPr>
        <w:t xml:space="preserve"> </w:t>
      </w:r>
    </w:p>
    <w:p w:rsidR="00980A99" w:rsidRDefault="00980A99" w:rsidP="00380572">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Висновки і перспективи подальших досліджень. </w:t>
      </w:r>
      <w:r w:rsidRPr="001650AE">
        <w:rPr>
          <w:rFonts w:ascii="Times New Roman" w:hAnsi="Times New Roman"/>
          <w:sz w:val="28"/>
          <w:szCs w:val="28"/>
          <w:lang w:val="uk-UA"/>
        </w:rPr>
        <w:t>Проведене дослідження</w:t>
      </w:r>
      <w:r>
        <w:rPr>
          <w:rFonts w:ascii="Times New Roman" w:hAnsi="Times New Roman"/>
          <w:sz w:val="28"/>
          <w:szCs w:val="28"/>
          <w:lang w:val="uk-UA"/>
        </w:rPr>
        <w:t xml:space="preserve"> свідчить про значне зменшення  питомої ваги прямих іноземних інвестицій, акумульованих в економіці Харківської області, в загальному їх обсязі у вітчизняній економіці, особливо за останні два роки (з 4,3 % на кінець 2015 р. до 1,7 % на кінець 2017 р.</w:t>
      </w:r>
      <w:r w:rsidRPr="007904ED">
        <w:rPr>
          <w:rFonts w:ascii="Times New Roman" w:hAnsi="Times New Roman"/>
          <w:sz w:val="28"/>
          <w:szCs w:val="28"/>
          <w:lang w:val="uk-UA"/>
        </w:rPr>
        <w:t xml:space="preserve"> </w:t>
      </w:r>
      <w:r>
        <w:rPr>
          <w:rFonts w:ascii="Times New Roman" w:hAnsi="Times New Roman"/>
          <w:sz w:val="28"/>
          <w:szCs w:val="28"/>
          <w:lang w:val="uk-UA"/>
        </w:rPr>
        <w:t xml:space="preserve">майже в 2,5 рази) – майже у 2,5 рази, що призвело до втрати </w:t>
      </w:r>
      <w:r w:rsidRPr="00D52831">
        <w:rPr>
          <w:rFonts w:ascii="Times New Roman" w:hAnsi="Times New Roman"/>
          <w:sz w:val="28"/>
          <w:szCs w:val="28"/>
          <w:lang w:val="uk-UA"/>
        </w:rPr>
        <w:t xml:space="preserve">нею </w:t>
      </w:r>
      <w:r>
        <w:rPr>
          <w:rFonts w:ascii="Times New Roman" w:hAnsi="Times New Roman"/>
          <w:sz w:val="28"/>
          <w:szCs w:val="28"/>
          <w:lang w:val="uk-UA"/>
        </w:rPr>
        <w:t>позицій одного з найпривабливіших для іноземних інвесторів регіонів</w:t>
      </w:r>
      <w:r w:rsidRPr="00301755">
        <w:rPr>
          <w:rFonts w:ascii="Times New Roman" w:hAnsi="Times New Roman"/>
          <w:sz w:val="28"/>
          <w:szCs w:val="28"/>
          <w:lang w:val="uk-UA"/>
        </w:rPr>
        <w:t xml:space="preserve"> </w:t>
      </w:r>
      <w:r>
        <w:rPr>
          <w:rFonts w:ascii="Times New Roman" w:hAnsi="Times New Roman"/>
          <w:sz w:val="28"/>
          <w:szCs w:val="28"/>
          <w:lang w:val="uk-UA"/>
        </w:rPr>
        <w:t xml:space="preserve">України. Географічна структура ПІІ вказує на те, що переважна їх більшість надходить із Кіпру і є реінвестованим українським капіталом. Галузева і територіальна структура залучених до регіону прямих іноземних інвестицій не відповідає його потребам і наявному інвестиційному потенціалу, що стримує розвиток як окремих галузей економіки, так і соціально-економічний розвиток окремих районів і Харківської області в цілому. </w:t>
      </w:r>
    </w:p>
    <w:p w:rsidR="00980A99" w:rsidRDefault="00980A99" w:rsidP="008420A6">
      <w:pPr>
        <w:autoSpaceDE w:val="0"/>
        <w:autoSpaceDN w:val="0"/>
        <w:adjustRightInd w:val="0"/>
        <w:spacing w:after="0" w:line="360" w:lineRule="auto"/>
        <w:ind w:firstLine="709"/>
        <w:jc w:val="both"/>
        <w:rPr>
          <w:rFonts w:ascii="TimesNewRoman" w:hAnsi="TimesNewRoman" w:cs="TimesNewRoman"/>
          <w:sz w:val="28"/>
          <w:szCs w:val="28"/>
          <w:lang w:val="uk-UA"/>
        </w:rPr>
      </w:pPr>
      <w:r>
        <w:rPr>
          <w:rFonts w:ascii="Times New Roman" w:hAnsi="Times New Roman"/>
          <w:sz w:val="28"/>
          <w:szCs w:val="28"/>
          <w:lang w:val="uk-UA"/>
        </w:rPr>
        <w:t>Д</w:t>
      </w:r>
      <w:r w:rsidRPr="00C45DE5">
        <w:rPr>
          <w:rFonts w:ascii="TimesNewRoman" w:hAnsi="TimesNewRoman" w:cs="TimesNewRoman"/>
          <w:sz w:val="28"/>
          <w:szCs w:val="28"/>
          <w:lang w:val="uk-UA"/>
        </w:rPr>
        <w:t xml:space="preserve">ля іноземних інвесторів </w:t>
      </w:r>
      <w:r>
        <w:rPr>
          <w:rFonts w:ascii="TimesNewRoman" w:hAnsi="TimesNewRoman" w:cs="TimesNewRoman"/>
          <w:sz w:val="28"/>
          <w:szCs w:val="28"/>
          <w:lang w:val="uk-UA"/>
        </w:rPr>
        <w:t xml:space="preserve">у сучасних умовах Харківська область </w:t>
      </w:r>
      <w:r w:rsidRPr="00C45DE5">
        <w:rPr>
          <w:rFonts w:ascii="TimesNewRoman" w:hAnsi="TimesNewRoman" w:cs="TimesNewRoman"/>
          <w:sz w:val="28"/>
          <w:szCs w:val="28"/>
          <w:lang w:val="uk-UA"/>
        </w:rPr>
        <w:t xml:space="preserve">водночас є </w:t>
      </w:r>
      <w:r>
        <w:rPr>
          <w:rFonts w:ascii="TimesNewRoman" w:hAnsi="TimesNewRoman" w:cs="TimesNewRoman"/>
          <w:sz w:val="28"/>
          <w:szCs w:val="28"/>
          <w:lang w:val="uk-UA"/>
        </w:rPr>
        <w:t xml:space="preserve">регіоном </w:t>
      </w:r>
      <w:r w:rsidRPr="00C45DE5">
        <w:rPr>
          <w:rFonts w:ascii="TimesNewRoman" w:hAnsi="TimesNewRoman" w:cs="TimesNewRoman"/>
          <w:sz w:val="28"/>
          <w:szCs w:val="28"/>
          <w:lang w:val="uk-UA"/>
        </w:rPr>
        <w:t>великих можливостей і</w:t>
      </w:r>
      <w:r>
        <w:rPr>
          <w:rFonts w:ascii="TimesNewRoman" w:hAnsi="TimesNewRoman" w:cs="TimesNewRoman"/>
          <w:sz w:val="28"/>
          <w:szCs w:val="28"/>
          <w:lang w:val="uk-UA"/>
        </w:rPr>
        <w:t xml:space="preserve"> </w:t>
      </w:r>
      <w:r w:rsidRPr="00C45DE5">
        <w:rPr>
          <w:rFonts w:ascii="TimesNewRoman" w:hAnsi="TimesNewRoman" w:cs="TimesNewRoman"/>
          <w:sz w:val="28"/>
          <w:szCs w:val="28"/>
          <w:lang w:val="uk-UA"/>
        </w:rPr>
        <w:t>великого ризику</w:t>
      </w:r>
      <w:r>
        <w:rPr>
          <w:rFonts w:ascii="TimesNewRoman" w:hAnsi="TimesNewRoman" w:cs="TimesNewRoman"/>
          <w:sz w:val="28"/>
          <w:szCs w:val="28"/>
          <w:lang w:val="uk-UA"/>
        </w:rPr>
        <w:t>, пов’</w:t>
      </w:r>
      <w:r w:rsidRPr="00A60655">
        <w:rPr>
          <w:rFonts w:ascii="TimesNewRoman" w:hAnsi="TimesNewRoman" w:cs="TimesNewRoman"/>
          <w:sz w:val="28"/>
          <w:szCs w:val="28"/>
          <w:lang w:val="uk-UA"/>
        </w:rPr>
        <w:t>язаного</w:t>
      </w:r>
      <w:r>
        <w:rPr>
          <w:rFonts w:ascii="TimesNewRoman" w:hAnsi="TimesNewRoman" w:cs="TimesNewRoman"/>
          <w:sz w:val="28"/>
          <w:szCs w:val="28"/>
          <w:lang w:val="uk-UA"/>
        </w:rPr>
        <w:t xml:space="preserve"> з військовими діями в сусідніх з нею Донецькій і Луганській областях, т</w:t>
      </w:r>
      <w:r w:rsidRPr="00C45DE5">
        <w:rPr>
          <w:rFonts w:ascii="TimesNewRoman" w:hAnsi="TimesNewRoman" w:cs="TimesNewRoman"/>
          <w:sz w:val="28"/>
          <w:szCs w:val="28"/>
          <w:lang w:val="uk-UA"/>
        </w:rPr>
        <w:t>ому особливої уваги</w:t>
      </w:r>
      <w:r>
        <w:rPr>
          <w:rFonts w:ascii="TimesNewRoman" w:hAnsi="TimesNewRoman" w:cs="TimesNewRoman"/>
          <w:sz w:val="28"/>
          <w:szCs w:val="28"/>
          <w:lang w:val="uk-UA"/>
        </w:rPr>
        <w:t xml:space="preserve"> з боку регіональної влади потребує </w:t>
      </w:r>
      <w:r w:rsidRPr="00C45DE5">
        <w:rPr>
          <w:rFonts w:ascii="TimesNewRoman" w:hAnsi="TimesNewRoman" w:cs="TimesNewRoman"/>
          <w:sz w:val="28"/>
          <w:szCs w:val="28"/>
          <w:lang w:val="uk-UA"/>
        </w:rPr>
        <w:t>формування позитивного</w:t>
      </w:r>
      <w:r>
        <w:rPr>
          <w:rFonts w:ascii="TimesNewRoman" w:hAnsi="TimesNewRoman" w:cs="TimesNewRoman"/>
          <w:sz w:val="28"/>
          <w:szCs w:val="28"/>
          <w:lang w:val="uk-UA"/>
        </w:rPr>
        <w:t xml:space="preserve"> інвестиційного </w:t>
      </w:r>
      <w:r w:rsidRPr="00C45DE5">
        <w:rPr>
          <w:rFonts w:ascii="TimesNewRoman" w:hAnsi="TimesNewRoman" w:cs="TimesNewRoman"/>
          <w:sz w:val="28"/>
          <w:szCs w:val="28"/>
          <w:lang w:val="uk-UA"/>
        </w:rPr>
        <w:t>іміджу</w:t>
      </w:r>
      <w:r>
        <w:rPr>
          <w:rFonts w:ascii="TimesNewRoman" w:hAnsi="TimesNewRoman" w:cs="TimesNewRoman"/>
          <w:sz w:val="28"/>
          <w:szCs w:val="28"/>
          <w:lang w:val="uk-UA"/>
        </w:rPr>
        <w:t xml:space="preserve"> і доведення його до потенційних іноземних інвесторів. Подальші дослідження доцільно проводити у напрямі розробки дієвих механізмів та інструментів, спрямованих на формування позитивного інвестиційного іміджу регіону. </w:t>
      </w:r>
    </w:p>
    <w:p w:rsidR="00980A99" w:rsidRPr="008420A6" w:rsidRDefault="00980A99" w:rsidP="008420A6">
      <w:pPr>
        <w:autoSpaceDE w:val="0"/>
        <w:autoSpaceDN w:val="0"/>
        <w:adjustRightInd w:val="0"/>
        <w:spacing w:after="0" w:line="360" w:lineRule="auto"/>
        <w:ind w:firstLine="709"/>
        <w:jc w:val="both"/>
        <w:rPr>
          <w:rFonts w:ascii="TimesNewRoman" w:hAnsi="TimesNewRoman" w:cs="TimesNewRoman"/>
          <w:sz w:val="28"/>
          <w:szCs w:val="28"/>
          <w:lang w:val="uk-UA"/>
        </w:rPr>
      </w:pPr>
    </w:p>
    <w:p w:rsidR="00980A99" w:rsidRDefault="00980A99" w:rsidP="002425EB">
      <w:pPr>
        <w:spacing w:after="0" w:line="360" w:lineRule="auto"/>
        <w:jc w:val="center"/>
        <w:rPr>
          <w:rFonts w:ascii="Times New Roman" w:hAnsi="Times New Roman"/>
          <w:sz w:val="28"/>
          <w:szCs w:val="28"/>
          <w:lang w:val="uk-UA"/>
        </w:rPr>
      </w:pPr>
      <w:r>
        <w:rPr>
          <w:rFonts w:ascii="Times New Roman" w:hAnsi="Times New Roman"/>
          <w:b/>
          <w:sz w:val="28"/>
          <w:szCs w:val="28"/>
          <w:lang w:val="uk-UA"/>
        </w:rPr>
        <w:t>Список бібліографічних посилань</w:t>
      </w:r>
    </w:p>
    <w:p w:rsidR="00980A99" w:rsidRDefault="00980A99" w:rsidP="0002341A">
      <w:pPr>
        <w:pStyle w:val="ListParagraph"/>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Аверчук Р. Прямі іноземні інвестиції в Україні: війна і мир [Електронний ресурс] / Ростислав Аверчук //</w:t>
      </w:r>
      <w:r>
        <w:rPr>
          <w:rFonts w:ascii="Times New Roman" w:hAnsi="Times New Roman"/>
          <w:sz w:val="28"/>
          <w:szCs w:val="28"/>
          <w:lang w:val="en-US"/>
        </w:rPr>
        <w:t> </w:t>
      </w:r>
      <w:r>
        <w:rPr>
          <w:rFonts w:ascii="Times New Roman" w:hAnsi="Times New Roman"/>
          <w:sz w:val="28"/>
          <w:szCs w:val="28"/>
          <w:lang w:val="uk-UA"/>
        </w:rPr>
        <w:t>VoxUkraine. – 12.01.2017 р. – Режим доступу : </w:t>
      </w:r>
      <w:r>
        <w:rPr>
          <w:rFonts w:ascii="Times New Roman" w:hAnsi="Times New Roman"/>
          <w:sz w:val="28"/>
          <w:szCs w:val="28"/>
          <w:lang w:val="en-US"/>
        </w:rPr>
        <w:t>https</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ox</w:t>
      </w:r>
      <w:r>
        <w:rPr>
          <w:rFonts w:ascii="Times New Roman" w:hAnsi="Times New Roman"/>
          <w:sz w:val="28"/>
          <w:szCs w:val="28"/>
          <w:lang w:val="en-US"/>
        </w:rPr>
        <w:t>u</w:t>
      </w:r>
      <w:r>
        <w:rPr>
          <w:rFonts w:ascii="Times New Roman" w:hAnsi="Times New Roman"/>
          <w:sz w:val="28"/>
          <w:szCs w:val="28"/>
          <w:lang w:val="uk-UA"/>
        </w:rPr>
        <w:t>kraine.</w:t>
      </w:r>
      <w:r>
        <w:rPr>
          <w:rFonts w:ascii="Times New Roman" w:hAnsi="Times New Roman"/>
          <w:sz w:val="28"/>
          <w:szCs w:val="28"/>
          <w:lang w:val="en-US"/>
        </w:rPr>
        <w:t>org</w:t>
      </w:r>
      <w:r>
        <w:rPr>
          <w:rFonts w:ascii="Times New Roman" w:hAnsi="Times New Roman"/>
          <w:sz w:val="28"/>
          <w:szCs w:val="28"/>
          <w:lang w:val="uk-UA"/>
        </w:rPr>
        <w:t>/</w:t>
      </w:r>
      <w:r>
        <w:rPr>
          <w:rFonts w:ascii="Times New Roman" w:hAnsi="Times New Roman"/>
          <w:sz w:val="28"/>
          <w:szCs w:val="28"/>
          <w:lang w:val="en-US"/>
        </w:rPr>
        <w:t>uk</w:t>
      </w:r>
      <w:r>
        <w:rPr>
          <w:rFonts w:ascii="Times New Roman" w:hAnsi="Times New Roman"/>
          <w:sz w:val="28"/>
          <w:szCs w:val="28"/>
          <w:lang w:val="uk-UA"/>
        </w:rPr>
        <w:t>/</w:t>
      </w:r>
      <w:r>
        <w:rPr>
          <w:rFonts w:ascii="Times New Roman" w:hAnsi="Times New Roman"/>
          <w:sz w:val="28"/>
          <w:szCs w:val="28"/>
          <w:lang w:val="en-US"/>
        </w:rPr>
        <w:t>investsments</w:t>
      </w:r>
      <w:r>
        <w:rPr>
          <w:rFonts w:ascii="Times New Roman" w:hAnsi="Times New Roman"/>
          <w:sz w:val="28"/>
          <w:szCs w:val="28"/>
          <w:lang w:val="uk-UA"/>
        </w:rPr>
        <w:t>-</w:t>
      </w:r>
      <w:r>
        <w:rPr>
          <w:rFonts w:ascii="Times New Roman" w:hAnsi="Times New Roman"/>
          <w:sz w:val="28"/>
          <w:szCs w:val="28"/>
          <w:lang w:val="en-US"/>
        </w:rPr>
        <w:t>in</w:t>
      </w:r>
      <w:r>
        <w:rPr>
          <w:rFonts w:ascii="Times New Roman" w:hAnsi="Times New Roman"/>
          <w:sz w:val="28"/>
          <w:szCs w:val="28"/>
          <w:lang w:val="uk-UA"/>
        </w:rPr>
        <w:t>-</w:t>
      </w:r>
      <w:r>
        <w:rPr>
          <w:rFonts w:ascii="Times New Roman" w:hAnsi="Times New Roman"/>
          <w:sz w:val="28"/>
          <w:szCs w:val="28"/>
          <w:lang w:val="en-US"/>
        </w:rPr>
        <w:t>u</w:t>
      </w:r>
      <w:r>
        <w:rPr>
          <w:rFonts w:ascii="Times New Roman" w:hAnsi="Times New Roman"/>
          <w:sz w:val="28"/>
          <w:szCs w:val="28"/>
          <w:lang w:val="uk-UA"/>
        </w:rPr>
        <w:t>kraine-</w:t>
      </w:r>
      <w:r>
        <w:rPr>
          <w:rFonts w:ascii="Times New Roman" w:hAnsi="Times New Roman"/>
          <w:sz w:val="28"/>
          <w:szCs w:val="28"/>
          <w:lang w:val="en-US"/>
        </w:rPr>
        <w:t>ua</w:t>
      </w:r>
      <w:r>
        <w:rPr>
          <w:rFonts w:ascii="Times New Roman" w:hAnsi="Times New Roman"/>
          <w:sz w:val="28"/>
          <w:szCs w:val="28"/>
          <w:lang w:val="uk-UA"/>
        </w:rPr>
        <w:t>. – Дата звернення 24.05.2018.</w:t>
      </w:r>
    </w:p>
    <w:p w:rsidR="00980A99" w:rsidRPr="0050269A" w:rsidRDefault="00980A99" w:rsidP="0050269A">
      <w:pPr>
        <w:pStyle w:val="ListParagraph"/>
        <w:numPr>
          <w:ilvl w:val="0"/>
          <w:numId w:val="6"/>
        </w:numPr>
        <w:spacing w:after="0" w:line="360" w:lineRule="auto"/>
        <w:jc w:val="both"/>
        <w:rPr>
          <w:rFonts w:ascii="Times New Roman" w:hAnsi="Times New Roman"/>
          <w:sz w:val="28"/>
          <w:szCs w:val="28"/>
          <w:lang w:val="uk-UA"/>
        </w:rPr>
      </w:pPr>
      <w:r w:rsidRPr="0050269A">
        <w:rPr>
          <w:rFonts w:ascii="Times New Roman" w:hAnsi="Times New Roman"/>
          <w:sz w:val="28"/>
          <w:szCs w:val="28"/>
          <w:lang w:val="uk-UA"/>
        </w:rPr>
        <w:t>Закон України «Про режим іноземного</w:t>
      </w:r>
      <w:r>
        <w:rPr>
          <w:rFonts w:ascii="Times New Roman" w:hAnsi="Times New Roman"/>
          <w:sz w:val="28"/>
          <w:szCs w:val="28"/>
          <w:lang w:val="uk-UA"/>
        </w:rPr>
        <w:t xml:space="preserve"> інвестування» від 19.03.1996 № </w:t>
      </w:r>
      <w:r w:rsidRPr="0050269A">
        <w:rPr>
          <w:rFonts w:ascii="Times New Roman" w:hAnsi="Times New Roman"/>
          <w:sz w:val="28"/>
          <w:szCs w:val="28"/>
          <w:lang w:val="uk-UA"/>
        </w:rPr>
        <w:t>93/96-ВР. Редакція від 25.06.2016 /</w:t>
      </w:r>
      <w:r>
        <w:rPr>
          <w:rFonts w:ascii="Times New Roman" w:hAnsi="Times New Roman"/>
          <w:sz w:val="28"/>
          <w:szCs w:val="28"/>
          <w:lang w:val="uk-UA"/>
        </w:rPr>
        <w:t> </w:t>
      </w:r>
      <w:r w:rsidRPr="0050269A">
        <w:rPr>
          <w:rFonts w:ascii="Times New Roman" w:hAnsi="Times New Roman"/>
          <w:sz w:val="28"/>
          <w:szCs w:val="28"/>
          <w:lang w:val="uk-UA"/>
        </w:rPr>
        <w:t>Верховна</w:t>
      </w:r>
      <w:r>
        <w:rPr>
          <w:rFonts w:ascii="Times New Roman" w:hAnsi="Times New Roman"/>
          <w:sz w:val="28"/>
          <w:szCs w:val="28"/>
          <w:lang w:val="uk-UA"/>
        </w:rPr>
        <w:t> </w:t>
      </w:r>
      <w:r w:rsidRPr="0050269A">
        <w:rPr>
          <w:rFonts w:ascii="Times New Roman" w:hAnsi="Times New Roman"/>
          <w:sz w:val="28"/>
          <w:szCs w:val="28"/>
          <w:lang w:val="uk-UA"/>
        </w:rPr>
        <w:t>Рада України. – Режим доступу : http://</w:t>
      </w:r>
      <w:r w:rsidRPr="0050269A">
        <w:rPr>
          <w:rFonts w:ascii="Times New Roman" w:hAnsi="Times New Roman"/>
          <w:sz w:val="28"/>
          <w:szCs w:val="28"/>
          <w:lang w:val="en-US"/>
        </w:rPr>
        <w:t>zakon</w:t>
      </w:r>
      <w:r w:rsidRPr="0050269A">
        <w:rPr>
          <w:rFonts w:ascii="Times New Roman" w:hAnsi="Times New Roman"/>
          <w:sz w:val="28"/>
          <w:szCs w:val="28"/>
          <w:lang w:val="uk-UA"/>
        </w:rPr>
        <w:t>2.</w:t>
      </w:r>
      <w:r w:rsidRPr="0050269A">
        <w:rPr>
          <w:rFonts w:ascii="Times New Roman" w:hAnsi="Times New Roman"/>
          <w:sz w:val="28"/>
          <w:szCs w:val="28"/>
          <w:lang w:val="en-US"/>
        </w:rPr>
        <w:t>rada</w:t>
      </w:r>
      <w:r w:rsidRPr="0050269A">
        <w:rPr>
          <w:rFonts w:ascii="Times New Roman" w:hAnsi="Times New Roman"/>
          <w:sz w:val="28"/>
          <w:szCs w:val="28"/>
          <w:lang w:val="uk-UA"/>
        </w:rPr>
        <w:t>.</w:t>
      </w:r>
      <w:r w:rsidRPr="0050269A">
        <w:rPr>
          <w:rFonts w:ascii="Times New Roman" w:hAnsi="Times New Roman"/>
          <w:sz w:val="28"/>
          <w:szCs w:val="28"/>
          <w:lang w:val="en-US"/>
        </w:rPr>
        <w:t>gov</w:t>
      </w:r>
      <w:r w:rsidRPr="0050269A">
        <w:rPr>
          <w:rFonts w:ascii="Times New Roman" w:hAnsi="Times New Roman"/>
          <w:sz w:val="28"/>
          <w:szCs w:val="28"/>
          <w:lang w:val="uk-UA"/>
        </w:rPr>
        <w:t>.</w:t>
      </w:r>
      <w:r w:rsidRPr="0050269A">
        <w:rPr>
          <w:rFonts w:ascii="Times New Roman" w:hAnsi="Times New Roman"/>
          <w:sz w:val="28"/>
          <w:szCs w:val="28"/>
          <w:lang w:val="en-US"/>
        </w:rPr>
        <w:t>ua</w:t>
      </w:r>
      <w:r w:rsidRPr="0050269A">
        <w:rPr>
          <w:rFonts w:ascii="Times New Roman" w:hAnsi="Times New Roman"/>
          <w:sz w:val="28"/>
          <w:szCs w:val="28"/>
          <w:lang w:val="uk-UA"/>
        </w:rPr>
        <w:t>/</w:t>
      </w:r>
      <w:r w:rsidRPr="0050269A">
        <w:rPr>
          <w:rFonts w:ascii="Times New Roman" w:hAnsi="Times New Roman"/>
          <w:sz w:val="28"/>
          <w:szCs w:val="28"/>
          <w:lang w:val="en-US"/>
        </w:rPr>
        <w:t>laws</w:t>
      </w:r>
      <w:r w:rsidRPr="0050269A">
        <w:rPr>
          <w:rFonts w:ascii="Times New Roman" w:hAnsi="Times New Roman"/>
          <w:sz w:val="28"/>
          <w:szCs w:val="28"/>
          <w:lang w:val="uk-UA"/>
        </w:rPr>
        <w:t>/</w:t>
      </w:r>
      <w:r w:rsidRPr="0050269A">
        <w:rPr>
          <w:rFonts w:ascii="Times New Roman" w:hAnsi="Times New Roman"/>
          <w:sz w:val="28"/>
          <w:szCs w:val="28"/>
          <w:lang w:val="en-US"/>
        </w:rPr>
        <w:t>show</w:t>
      </w:r>
      <w:r w:rsidRPr="0050269A">
        <w:rPr>
          <w:rFonts w:ascii="Times New Roman" w:hAnsi="Times New Roman"/>
          <w:sz w:val="28"/>
          <w:szCs w:val="28"/>
          <w:lang w:val="uk-UA"/>
        </w:rPr>
        <w:t>/93/96. –</w:t>
      </w:r>
      <w:r>
        <w:rPr>
          <w:rFonts w:ascii="Times New Roman" w:hAnsi="Times New Roman"/>
          <w:sz w:val="28"/>
          <w:szCs w:val="28"/>
          <w:lang w:val="uk-UA"/>
        </w:rPr>
        <w:t xml:space="preserve"> </w:t>
      </w:r>
      <w:r w:rsidRPr="0050269A">
        <w:rPr>
          <w:rFonts w:ascii="Times New Roman" w:hAnsi="Times New Roman"/>
          <w:sz w:val="28"/>
          <w:szCs w:val="28"/>
          <w:lang w:val="uk-UA"/>
        </w:rPr>
        <w:t>Дата звернення: 2</w:t>
      </w:r>
      <w:r>
        <w:rPr>
          <w:rFonts w:ascii="Times New Roman" w:hAnsi="Times New Roman"/>
          <w:sz w:val="28"/>
          <w:szCs w:val="28"/>
          <w:lang w:val="uk-UA"/>
        </w:rPr>
        <w:t>2</w:t>
      </w:r>
      <w:r w:rsidRPr="0050269A">
        <w:rPr>
          <w:rFonts w:ascii="Times New Roman" w:hAnsi="Times New Roman"/>
          <w:sz w:val="28"/>
          <w:szCs w:val="28"/>
          <w:lang w:val="uk-UA"/>
        </w:rPr>
        <w:t>.05.201</w:t>
      </w:r>
      <w:r>
        <w:rPr>
          <w:rFonts w:ascii="Times New Roman" w:hAnsi="Times New Roman"/>
          <w:sz w:val="28"/>
          <w:szCs w:val="28"/>
          <w:lang w:val="uk-UA"/>
        </w:rPr>
        <w:t>8</w:t>
      </w:r>
      <w:r w:rsidRPr="0050269A">
        <w:rPr>
          <w:rFonts w:ascii="Times New Roman" w:hAnsi="Times New Roman"/>
          <w:sz w:val="28"/>
          <w:szCs w:val="28"/>
          <w:lang w:val="uk-UA"/>
        </w:rPr>
        <w:t>.</w:t>
      </w:r>
      <w:r w:rsidRPr="0050269A">
        <w:rPr>
          <w:rFonts w:ascii="Times New Roman" w:hAnsi="Times New Roman"/>
          <w:sz w:val="28"/>
          <w:szCs w:val="28"/>
        </w:rPr>
        <w:t> </w:t>
      </w:r>
    </w:p>
    <w:p w:rsidR="00980A99" w:rsidRPr="0050269A" w:rsidRDefault="00980A99" w:rsidP="0050269A">
      <w:pPr>
        <w:pStyle w:val="ListParagraph"/>
        <w:numPr>
          <w:ilvl w:val="0"/>
          <w:numId w:val="6"/>
        </w:numPr>
        <w:spacing w:after="0" w:line="360" w:lineRule="auto"/>
        <w:jc w:val="both"/>
        <w:rPr>
          <w:rFonts w:ascii="Times New Roman" w:hAnsi="Times New Roman"/>
          <w:sz w:val="28"/>
          <w:szCs w:val="28"/>
          <w:lang w:val="uk-UA"/>
        </w:rPr>
      </w:pPr>
      <w:r w:rsidRPr="0050269A">
        <w:rPr>
          <w:rFonts w:ascii="Times New Roman" w:hAnsi="Times New Roman"/>
          <w:sz w:val="28"/>
          <w:szCs w:val="28"/>
          <w:lang w:val="uk-UA"/>
        </w:rPr>
        <w:t>Інвестиції зовнішньоекономічної діяльності України [Електронний ресурс] /Держа</w:t>
      </w:r>
      <w:r>
        <w:rPr>
          <w:rFonts w:ascii="Times New Roman" w:hAnsi="Times New Roman"/>
          <w:sz w:val="28"/>
          <w:szCs w:val="28"/>
          <w:lang w:val="uk-UA"/>
        </w:rPr>
        <w:t>вна служба статистики України.</w:t>
      </w:r>
      <w:r w:rsidRPr="0050269A">
        <w:rPr>
          <w:rFonts w:ascii="Times New Roman" w:hAnsi="Times New Roman"/>
          <w:sz w:val="28"/>
          <w:szCs w:val="28"/>
          <w:lang w:val="uk-UA"/>
        </w:rPr>
        <w:t xml:space="preserve"> – Режим доступу : </w:t>
      </w:r>
      <w:r w:rsidRPr="0050269A">
        <w:rPr>
          <w:rFonts w:ascii="Times New Roman" w:hAnsi="Times New Roman"/>
          <w:sz w:val="28"/>
          <w:szCs w:val="28"/>
          <w:lang w:val="en-US"/>
        </w:rPr>
        <w:t>http</w:t>
      </w:r>
      <w:r w:rsidRPr="0050269A">
        <w:rPr>
          <w:rFonts w:ascii="Times New Roman" w:hAnsi="Times New Roman"/>
          <w:sz w:val="28"/>
          <w:szCs w:val="28"/>
          <w:lang w:val="uk-UA"/>
        </w:rPr>
        <w:t>://</w:t>
      </w:r>
      <w:r w:rsidRPr="0050269A">
        <w:rPr>
          <w:rFonts w:ascii="Times New Roman" w:hAnsi="Times New Roman"/>
          <w:sz w:val="28"/>
          <w:szCs w:val="28"/>
          <w:lang w:val="en-US"/>
        </w:rPr>
        <w:t>ukrstat</w:t>
      </w:r>
      <w:r w:rsidRPr="0050269A">
        <w:rPr>
          <w:rFonts w:ascii="Times New Roman" w:hAnsi="Times New Roman"/>
          <w:sz w:val="28"/>
          <w:szCs w:val="28"/>
          <w:lang w:val="uk-UA"/>
        </w:rPr>
        <w:t>.</w:t>
      </w:r>
      <w:r w:rsidRPr="0050269A">
        <w:rPr>
          <w:rFonts w:ascii="Times New Roman" w:hAnsi="Times New Roman"/>
          <w:sz w:val="28"/>
          <w:szCs w:val="28"/>
          <w:lang w:val="en-US"/>
        </w:rPr>
        <w:t>gov</w:t>
      </w:r>
      <w:r w:rsidRPr="0050269A">
        <w:rPr>
          <w:rFonts w:ascii="Times New Roman" w:hAnsi="Times New Roman"/>
          <w:sz w:val="28"/>
          <w:szCs w:val="28"/>
          <w:lang w:val="uk-UA"/>
        </w:rPr>
        <w:t>.</w:t>
      </w:r>
      <w:r w:rsidRPr="0050269A">
        <w:rPr>
          <w:rFonts w:ascii="Times New Roman" w:hAnsi="Times New Roman"/>
          <w:sz w:val="28"/>
          <w:szCs w:val="28"/>
          <w:lang w:val="en-US"/>
        </w:rPr>
        <w:t>ua</w:t>
      </w:r>
      <w:r>
        <w:rPr>
          <w:rFonts w:ascii="Times New Roman" w:hAnsi="Times New Roman"/>
          <w:sz w:val="28"/>
          <w:szCs w:val="28"/>
          <w:lang w:val="uk-UA"/>
        </w:rPr>
        <w:t xml:space="preserve">. </w:t>
      </w:r>
      <w:r w:rsidRPr="0050269A">
        <w:rPr>
          <w:rFonts w:ascii="Times New Roman" w:hAnsi="Times New Roman"/>
          <w:sz w:val="28"/>
          <w:szCs w:val="28"/>
          <w:lang w:val="uk-UA"/>
        </w:rPr>
        <w:t>–</w:t>
      </w:r>
      <w:r>
        <w:rPr>
          <w:rFonts w:ascii="Times New Roman" w:hAnsi="Times New Roman"/>
          <w:sz w:val="28"/>
          <w:szCs w:val="28"/>
          <w:lang w:val="uk-UA"/>
        </w:rPr>
        <w:t xml:space="preserve"> </w:t>
      </w:r>
      <w:r w:rsidRPr="0050269A">
        <w:rPr>
          <w:rFonts w:ascii="Times New Roman" w:hAnsi="Times New Roman"/>
          <w:sz w:val="28"/>
          <w:szCs w:val="28"/>
          <w:lang w:val="uk-UA"/>
        </w:rPr>
        <w:t>Дата звернення : 2</w:t>
      </w:r>
      <w:r>
        <w:rPr>
          <w:rFonts w:ascii="Times New Roman" w:hAnsi="Times New Roman"/>
          <w:sz w:val="28"/>
          <w:szCs w:val="28"/>
          <w:lang w:val="uk-UA"/>
        </w:rPr>
        <w:t>1</w:t>
      </w:r>
      <w:r w:rsidRPr="0050269A">
        <w:rPr>
          <w:rFonts w:ascii="Times New Roman" w:hAnsi="Times New Roman"/>
          <w:sz w:val="28"/>
          <w:szCs w:val="28"/>
          <w:lang w:val="uk-UA"/>
        </w:rPr>
        <w:t>.05.201</w:t>
      </w:r>
      <w:r>
        <w:rPr>
          <w:rFonts w:ascii="Times New Roman" w:hAnsi="Times New Roman"/>
          <w:sz w:val="28"/>
          <w:szCs w:val="28"/>
          <w:lang w:val="uk-UA"/>
        </w:rPr>
        <w:t>8</w:t>
      </w:r>
      <w:r w:rsidRPr="0050269A">
        <w:rPr>
          <w:rFonts w:ascii="Times New Roman" w:hAnsi="Times New Roman"/>
          <w:sz w:val="28"/>
          <w:szCs w:val="28"/>
          <w:lang w:val="uk-UA"/>
        </w:rPr>
        <w:t>.</w:t>
      </w:r>
    </w:p>
    <w:p w:rsidR="00980A99" w:rsidRPr="0050269A" w:rsidRDefault="00980A99" w:rsidP="0050269A">
      <w:pPr>
        <w:pStyle w:val="ListParagraph"/>
        <w:numPr>
          <w:ilvl w:val="0"/>
          <w:numId w:val="6"/>
        </w:numPr>
        <w:spacing w:after="0" w:line="360" w:lineRule="auto"/>
        <w:jc w:val="both"/>
        <w:rPr>
          <w:rFonts w:ascii="Times New Roman" w:hAnsi="Times New Roman"/>
          <w:sz w:val="28"/>
          <w:szCs w:val="28"/>
          <w:lang w:val="uk-UA"/>
        </w:rPr>
      </w:pPr>
      <w:r w:rsidRPr="0050269A">
        <w:rPr>
          <w:rFonts w:ascii="Times New Roman" w:hAnsi="Times New Roman"/>
          <w:sz w:val="28"/>
          <w:szCs w:val="28"/>
          <w:lang w:val="uk-UA"/>
        </w:rPr>
        <w:t>Крамаренко К. М. Залучення прямих іноземних інвестицій в економіку Харківської об</w:t>
      </w:r>
      <w:r>
        <w:rPr>
          <w:rFonts w:ascii="Times New Roman" w:hAnsi="Times New Roman"/>
          <w:sz w:val="28"/>
          <w:szCs w:val="28"/>
          <w:lang w:val="uk-UA"/>
        </w:rPr>
        <w:t>ласті [Електронний ресурс] / К. М. Крамаренко, С. О. </w:t>
      </w:r>
      <w:r w:rsidRPr="0050269A">
        <w:rPr>
          <w:rFonts w:ascii="Times New Roman" w:hAnsi="Times New Roman"/>
          <w:sz w:val="28"/>
          <w:szCs w:val="28"/>
          <w:lang w:val="uk-UA"/>
        </w:rPr>
        <w:t xml:space="preserve">Каплун // Економіка і суспільство. – 2016. – Вип. 6. </w:t>
      </w:r>
      <w:r>
        <w:rPr>
          <w:rFonts w:ascii="Times New Roman" w:hAnsi="Times New Roman"/>
          <w:sz w:val="28"/>
          <w:szCs w:val="28"/>
          <w:lang w:val="uk-UA"/>
        </w:rPr>
        <w:t xml:space="preserve">– С. 261 – 265. – Режим доступу </w:t>
      </w:r>
      <w:r w:rsidRPr="0050269A">
        <w:rPr>
          <w:rFonts w:ascii="Times New Roman" w:hAnsi="Times New Roman"/>
          <w:sz w:val="28"/>
          <w:szCs w:val="28"/>
          <w:lang w:val="uk-UA"/>
        </w:rPr>
        <w:t xml:space="preserve">: </w:t>
      </w:r>
      <w:r w:rsidRPr="0050269A">
        <w:rPr>
          <w:rFonts w:ascii="Times New Roman" w:hAnsi="Times New Roman"/>
          <w:sz w:val="28"/>
          <w:szCs w:val="28"/>
          <w:lang w:val="en-US"/>
        </w:rPr>
        <w:t>h</w:t>
      </w:r>
      <w:r w:rsidRPr="0050269A">
        <w:rPr>
          <w:rFonts w:ascii="Times New Roman" w:hAnsi="Times New Roman"/>
          <w:sz w:val="28"/>
          <w:szCs w:val="28"/>
          <w:lang w:val="uk-UA"/>
        </w:rPr>
        <w:t>ttp://www.economyandsociety.in.ua/index.php/journal-6. –</w:t>
      </w:r>
      <w:r>
        <w:rPr>
          <w:rFonts w:ascii="Times New Roman" w:hAnsi="Times New Roman"/>
          <w:sz w:val="28"/>
          <w:szCs w:val="28"/>
          <w:lang w:val="uk-UA"/>
        </w:rPr>
        <w:t xml:space="preserve"> Дата звернення : 24</w:t>
      </w:r>
      <w:r w:rsidRPr="0050269A">
        <w:rPr>
          <w:rFonts w:ascii="Times New Roman" w:hAnsi="Times New Roman"/>
          <w:sz w:val="28"/>
          <w:szCs w:val="28"/>
          <w:lang w:val="uk-UA"/>
        </w:rPr>
        <w:t>.05.201</w:t>
      </w:r>
      <w:r>
        <w:rPr>
          <w:rFonts w:ascii="Times New Roman" w:hAnsi="Times New Roman"/>
          <w:sz w:val="28"/>
          <w:szCs w:val="28"/>
          <w:lang w:val="uk-UA"/>
        </w:rPr>
        <w:t>8</w:t>
      </w:r>
      <w:r w:rsidRPr="0050269A">
        <w:rPr>
          <w:rFonts w:ascii="Times New Roman" w:hAnsi="Times New Roman"/>
          <w:sz w:val="28"/>
          <w:szCs w:val="28"/>
          <w:lang w:val="uk-UA"/>
        </w:rPr>
        <w:t xml:space="preserve">. </w:t>
      </w:r>
    </w:p>
    <w:p w:rsidR="00980A99" w:rsidRPr="0050269A" w:rsidRDefault="00980A99" w:rsidP="002956F6">
      <w:pPr>
        <w:pStyle w:val="ListParagraph"/>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Прямі іноземні інвестиції в Харківську область: Прес-випуски за 2016, 2017, 2018 роки </w:t>
      </w:r>
      <w:r w:rsidRPr="002956F6">
        <w:rPr>
          <w:rFonts w:ascii="Times New Roman" w:hAnsi="Times New Roman"/>
          <w:sz w:val="28"/>
          <w:szCs w:val="28"/>
        </w:rPr>
        <w:t>[Електронний ресурс]</w:t>
      </w:r>
      <w:r>
        <w:rPr>
          <w:rFonts w:ascii="Times New Roman" w:hAnsi="Times New Roman"/>
          <w:sz w:val="28"/>
          <w:szCs w:val="28"/>
          <w:lang w:val="uk-UA"/>
        </w:rPr>
        <w:t xml:space="preserve"> / Головне управління Державної служби статистики у Харківській області. – Режим доступу : </w:t>
      </w:r>
      <w:r w:rsidRPr="0050269A">
        <w:rPr>
          <w:rFonts w:ascii="Times New Roman" w:hAnsi="Times New Roman"/>
          <w:sz w:val="28"/>
          <w:szCs w:val="28"/>
          <w:lang w:val="en-US"/>
        </w:rPr>
        <w:t>http</w:t>
      </w:r>
      <w:r>
        <w:rPr>
          <w:rFonts w:ascii="Times New Roman" w:hAnsi="Times New Roman"/>
          <w:sz w:val="28"/>
          <w:szCs w:val="28"/>
          <w:lang w:val="uk-UA"/>
        </w:rPr>
        <w:t>://www.kh.</w:t>
      </w:r>
      <w:r w:rsidRPr="0050269A">
        <w:rPr>
          <w:rFonts w:ascii="Times New Roman" w:hAnsi="Times New Roman"/>
          <w:sz w:val="28"/>
          <w:szCs w:val="28"/>
          <w:lang w:val="en-US"/>
        </w:rPr>
        <w:t>ukrstat</w:t>
      </w:r>
      <w:r w:rsidRPr="0050269A">
        <w:rPr>
          <w:rFonts w:ascii="Times New Roman" w:hAnsi="Times New Roman"/>
          <w:sz w:val="28"/>
          <w:szCs w:val="28"/>
          <w:lang w:val="uk-UA"/>
        </w:rPr>
        <w:t>.</w:t>
      </w:r>
      <w:r w:rsidRPr="0050269A">
        <w:rPr>
          <w:rFonts w:ascii="Times New Roman" w:hAnsi="Times New Roman"/>
          <w:sz w:val="28"/>
          <w:szCs w:val="28"/>
          <w:lang w:val="en-US"/>
        </w:rPr>
        <w:t>gov</w:t>
      </w:r>
      <w:r w:rsidRPr="0050269A">
        <w:rPr>
          <w:rFonts w:ascii="Times New Roman" w:hAnsi="Times New Roman"/>
          <w:sz w:val="28"/>
          <w:szCs w:val="28"/>
          <w:lang w:val="uk-UA"/>
        </w:rPr>
        <w:t>.</w:t>
      </w:r>
      <w:r w:rsidRPr="0050269A">
        <w:rPr>
          <w:rFonts w:ascii="Times New Roman" w:hAnsi="Times New Roman"/>
          <w:sz w:val="28"/>
          <w:szCs w:val="28"/>
          <w:lang w:val="en-US"/>
        </w:rPr>
        <w:t>ua</w:t>
      </w:r>
      <w:r>
        <w:rPr>
          <w:rFonts w:ascii="Times New Roman" w:hAnsi="Times New Roman"/>
          <w:sz w:val="28"/>
          <w:szCs w:val="28"/>
          <w:lang w:val="uk-UA"/>
        </w:rPr>
        <w:t xml:space="preserve">. </w:t>
      </w:r>
      <w:r w:rsidRPr="0050269A">
        <w:rPr>
          <w:rFonts w:ascii="Times New Roman" w:hAnsi="Times New Roman"/>
          <w:sz w:val="28"/>
          <w:szCs w:val="28"/>
          <w:lang w:val="uk-UA"/>
        </w:rPr>
        <w:t>–</w:t>
      </w:r>
      <w:r>
        <w:rPr>
          <w:rFonts w:ascii="Times New Roman" w:hAnsi="Times New Roman"/>
          <w:sz w:val="28"/>
          <w:szCs w:val="28"/>
          <w:lang w:val="uk-UA"/>
        </w:rPr>
        <w:t xml:space="preserve"> </w:t>
      </w:r>
      <w:r w:rsidRPr="0050269A">
        <w:rPr>
          <w:rFonts w:ascii="Times New Roman" w:hAnsi="Times New Roman"/>
          <w:sz w:val="28"/>
          <w:szCs w:val="28"/>
          <w:lang w:val="uk-UA"/>
        </w:rPr>
        <w:t>Дата звернення : 2</w:t>
      </w:r>
      <w:r>
        <w:rPr>
          <w:rFonts w:ascii="Times New Roman" w:hAnsi="Times New Roman"/>
          <w:sz w:val="28"/>
          <w:szCs w:val="28"/>
          <w:lang w:val="uk-UA"/>
        </w:rPr>
        <w:t>3</w:t>
      </w:r>
      <w:r w:rsidRPr="0050269A">
        <w:rPr>
          <w:rFonts w:ascii="Times New Roman" w:hAnsi="Times New Roman"/>
          <w:sz w:val="28"/>
          <w:szCs w:val="28"/>
          <w:lang w:val="uk-UA"/>
        </w:rPr>
        <w:t>.05.201</w:t>
      </w:r>
      <w:r>
        <w:rPr>
          <w:rFonts w:ascii="Times New Roman" w:hAnsi="Times New Roman"/>
          <w:sz w:val="28"/>
          <w:szCs w:val="28"/>
          <w:lang w:val="uk-UA"/>
        </w:rPr>
        <w:t>8</w:t>
      </w:r>
      <w:r w:rsidRPr="0050269A">
        <w:rPr>
          <w:rFonts w:ascii="Times New Roman" w:hAnsi="Times New Roman"/>
          <w:sz w:val="28"/>
          <w:szCs w:val="28"/>
          <w:lang w:val="uk-UA"/>
        </w:rPr>
        <w:t>.</w:t>
      </w:r>
    </w:p>
    <w:p w:rsidR="00980A99" w:rsidRDefault="00980A99" w:rsidP="0074124D">
      <w:pPr>
        <w:pStyle w:val="ListParagraph"/>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 </w:t>
      </w:r>
      <w:r w:rsidRPr="0074124D">
        <w:rPr>
          <w:rFonts w:ascii="Times New Roman" w:hAnsi="Times New Roman"/>
          <w:sz w:val="28"/>
          <w:szCs w:val="28"/>
          <w:lang w:val="uk-UA"/>
        </w:rPr>
        <w:t>Рогач О. І. Міжнародні інвестиції : Теорія та практика бізнесу транснаціональних корпорацій : [Підручник] / О. І. Рогач. – К. : Либідь, 2005. – 720 с.</w:t>
      </w:r>
    </w:p>
    <w:p w:rsidR="00980A99" w:rsidRPr="0074124D" w:rsidRDefault="00980A99" w:rsidP="0074124D">
      <w:pPr>
        <w:pStyle w:val="ListParagraph"/>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 Стратегія розвитку Харківської області на період до 2020 року [Електронний ресурс]. – Режим доступу :</w:t>
      </w:r>
      <w:r w:rsidRPr="00340504">
        <w:rPr>
          <w:rFonts w:ascii="Times New Roman" w:hAnsi="Times New Roman"/>
          <w:sz w:val="28"/>
          <w:szCs w:val="28"/>
        </w:rPr>
        <w:t xml:space="preserve"> </w:t>
      </w:r>
      <w:r w:rsidRPr="00E50E61">
        <w:rPr>
          <w:rFonts w:ascii="Times New Roman" w:hAnsi="Times New Roman"/>
          <w:sz w:val="28"/>
          <w:szCs w:val="28"/>
          <w:lang w:val="uk-UA"/>
        </w:rPr>
        <w:t>http://</w:t>
      </w:r>
      <w:r w:rsidRPr="00E50E61">
        <w:rPr>
          <w:rFonts w:ascii="Times New Roman" w:hAnsi="Times New Roman"/>
          <w:sz w:val="28"/>
          <w:szCs w:val="28"/>
          <w:lang w:val="en-US"/>
        </w:rPr>
        <w:t>old</w:t>
      </w:r>
      <w:r w:rsidRPr="00E50E61">
        <w:rPr>
          <w:rFonts w:ascii="Times New Roman" w:hAnsi="Times New Roman"/>
          <w:sz w:val="28"/>
          <w:szCs w:val="28"/>
        </w:rPr>
        <w:t>.</w:t>
      </w:r>
      <w:r w:rsidRPr="00E50E61">
        <w:rPr>
          <w:rFonts w:ascii="Times New Roman" w:hAnsi="Times New Roman"/>
          <w:sz w:val="28"/>
          <w:szCs w:val="28"/>
          <w:lang w:val="en-US"/>
        </w:rPr>
        <w:t>kharkivoda</w:t>
      </w:r>
      <w:r w:rsidRPr="00E50E61">
        <w:rPr>
          <w:rFonts w:ascii="Times New Roman" w:hAnsi="Times New Roman"/>
          <w:sz w:val="28"/>
          <w:szCs w:val="28"/>
        </w:rPr>
        <w:t>.</w:t>
      </w:r>
      <w:r w:rsidRPr="00E50E61">
        <w:rPr>
          <w:rFonts w:ascii="Times New Roman" w:hAnsi="Times New Roman"/>
          <w:sz w:val="28"/>
          <w:szCs w:val="28"/>
          <w:lang w:val="en-US"/>
        </w:rPr>
        <w:t>gov</w:t>
      </w:r>
      <w:r w:rsidRPr="00E50E61">
        <w:rPr>
          <w:rFonts w:ascii="Times New Roman" w:hAnsi="Times New Roman"/>
          <w:sz w:val="28"/>
          <w:szCs w:val="28"/>
        </w:rPr>
        <w:t>.</w:t>
      </w:r>
      <w:r w:rsidRPr="00E50E61">
        <w:rPr>
          <w:rFonts w:ascii="Times New Roman" w:hAnsi="Times New Roman"/>
          <w:sz w:val="28"/>
          <w:szCs w:val="28"/>
          <w:lang w:val="en-US"/>
        </w:rPr>
        <w:t>ua</w:t>
      </w:r>
      <w:r w:rsidRPr="00E50E61">
        <w:rPr>
          <w:rFonts w:ascii="Times New Roman" w:hAnsi="Times New Roman"/>
          <w:sz w:val="28"/>
          <w:szCs w:val="28"/>
          <w:lang w:val="uk-UA"/>
        </w:rPr>
        <w:t>/docu</w:t>
      </w:r>
      <w:r w:rsidRPr="00E50E61">
        <w:rPr>
          <w:rFonts w:ascii="Times New Roman" w:hAnsi="Times New Roman"/>
          <w:sz w:val="28"/>
          <w:szCs w:val="28"/>
          <w:lang w:val="en-US"/>
        </w:rPr>
        <w:t>ments</w:t>
      </w:r>
      <w:r w:rsidRPr="00E50E61">
        <w:rPr>
          <w:rFonts w:ascii="Times New Roman" w:hAnsi="Times New Roman"/>
          <w:sz w:val="28"/>
          <w:szCs w:val="28"/>
          <w:lang w:val="uk-UA"/>
        </w:rPr>
        <w:t>/</w:t>
      </w:r>
      <w:r w:rsidRPr="00E50E61">
        <w:rPr>
          <w:rFonts w:ascii="Times New Roman" w:hAnsi="Times New Roman"/>
          <w:sz w:val="28"/>
          <w:szCs w:val="28"/>
        </w:rPr>
        <w:t>16933/</w:t>
      </w:r>
      <w:r w:rsidRPr="00E50E61">
        <w:rPr>
          <w:rFonts w:ascii="Times New Roman" w:hAnsi="Times New Roman"/>
          <w:sz w:val="28"/>
          <w:szCs w:val="28"/>
          <w:lang w:val="uk-UA"/>
        </w:rPr>
        <w:t>1119.pdf</w:t>
      </w:r>
      <w:r>
        <w:rPr>
          <w:rFonts w:ascii="Times New Roman" w:hAnsi="Times New Roman"/>
          <w:sz w:val="28"/>
          <w:szCs w:val="28"/>
          <w:lang w:val="uk-UA"/>
        </w:rPr>
        <w:t xml:space="preserve">. </w:t>
      </w:r>
      <w:r w:rsidRPr="0050269A">
        <w:rPr>
          <w:rFonts w:ascii="Times New Roman" w:hAnsi="Times New Roman"/>
          <w:sz w:val="28"/>
          <w:szCs w:val="28"/>
          <w:lang w:val="uk-UA"/>
        </w:rPr>
        <w:t>–</w:t>
      </w:r>
      <w:r>
        <w:rPr>
          <w:rFonts w:ascii="Times New Roman" w:hAnsi="Times New Roman"/>
          <w:sz w:val="28"/>
          <w:szCs w:val="28"/>
          <w:lang w:val="uk-UA"/>
        </w:rPr>
        <w:t xml:space="preserve"> Дата звернення</w:t>
      </w:r>
      <w:r w:rsidRPr="0050269A">
        <w:rPr>
          <w:rFonts w:ascii="Times New Roman" w:hAnsi="Times New Roman"/>
          <w:sz w:val="28"/>
          <w:szCs w:val="28"/>
          <w:lang w:val="uk-UA"/>
        </w:rPr>
        <w:t>: 2</w:t>
      </w:r>
      <w:r>
        <w:rPr>
          <w:rFonts w:ascii="Times New Roman" w:hAnsi="Times New Roman"/>
          <w:sz w:val="28"/>
          <w:szCs w:val="28"/>
          <w:lang w:val="uk-UA"/>
        </w:rPr>
        <w:t>3</w:t>
      </w:r>
      <w:r w:rsidRPr="0050269A">
        <w:rPr>
          <w:rFonts w:ascii="Times New Roman" w:hAnsi="Times New Roman"/>
          <w:sz w:val="28"/>
          <w:szCs w:val="28"/>
          <w:lang w:val="uk-UA"/>
        </w:rPr>
        <w:t>.05.201</w:t>
      </w:r>
      <w:r>
        <w:rPr>
          <w:rFonts w:ascii="Times New Roman" w:hAnsi="Times New Roman"/>
          <w:sz w:val="28"/>
          <w:szCs w:val="28"/>
          <w:lang w:val="uk-UA"/>
        </w:rPr>
        <w:t>8</w:t>
      </w:r>
      <w:r w:rsidRPr="0050269A">
        <w:rPr>
          <w:rFonts w:ascii="Times New Roman" w:hAnsi="Times New Roman"/>
          <w:sz w:val="28"/>
          <w:szCs w:val="28"/>
          <w:lang w:val="uk-UA"/>
        </w:rPr>
        <w:t>.</w:t>
      </w:r>
      <w:r>
        <w:rPr>
          <w:rFonts w:ascii="Times New Roman" w:hAnsi="Times New Roman"/>
          <w:sz w:val="28"/>
          <w:szCs w:val="28"/>
          <w:lang w:val="uk-UA"/>
        </w:rPr>
        <w:t xml:space="preserve"> </w:t>
      </w:r>
    </w:p>
    <w:sectPr w:rsidR="00980A99" w:rsidRPr="0074124D" w:rsidSect="00C84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0B3"/>
    <w:multiLevelType w:val="hybridMultilevel"/>
    <w:tmpl w:val="68E8038C"/>
    <w:lvl w:ilvl="0" w:tplc="F10C2448">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DF02F4"/>
    <w:multiLevelType w:val="hybridMultilevel"/>
    <w:tmpl w:val="E8F8F1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76A22"/>
    <w:multiLevelType w:val="hybridMultilevel"/>
    <w:tmpl w:val="ACA6D928"/>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62313904"/>
    <w:multiLevelType w:val="hybridMultilevel"/>
    <w:tmpl w:val="FFCAA4A8"/>
    <w:lvl w:ilvl="0" w:tplc="700ABDEE">
      <w:start w:val="1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A13280"/>
    <w:multiLevelType w:val="hybridMultilevel"/>
    <w:tmpl w:val="A31287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F14679"/>
    <w:multiLevelType w:val="hybridMultilevel"/>
    <w:tmpl w:val="EC4E0AF0"/>
    <w:lvl w:ilvl="0" w:tplc="64D492C4">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4E6"/>
    <w:rsid w:val="000144B1"/>
    <w:rsid w:val="0002341A"/>
    <w:rsid w:val="00032440"/>
    <w:rsid w:val="0003250F"/>
    <w:rsid w:val="00040F4B"/>
    <w:rsid w:val="000525D2"/>
    <w:rsid w:val="00052A7F"/>
    <w:rsid w:val="00053CD9"/>
    <w:rsid w:val="00082F0E"/>
    <w:rsid w:val="0008452F"/>
    <w:rsid w:val="00084A96"/>
    <w:rsid w:val="00090582"/>
    <w:rsid w:val="0009196F"/>
    <w:rsid w:val="000954BE"/>
    <w:rsid w:val="000975C0"/>
    <w:rsid w:val="000A0788"/>
    <w:rsid w:val="000A2867"/>
    <w:rsid w:val="000A31E2"/>
    <w:rsid w:val="000A4D81"/>
    <w:rsid w:val="000A4E0F"/>
    <w:rsid w:val="000A5FA4"/>
    <w:rsid w:val="000A7203"/>
    <w:rsid w:val="000B15B1"/>
    <w:rsid w:val="000B40ED"/>
    <w:rsid w:val="000B596D"/>
    <w:rsid w:val="000B6801"/>
    <w:rsid w:val="000D2922"/>
    <w:rsid w:val="000D7B7A"/>
    <w:rsid w:val="000D7E5E"/>
    <w:rsid w:val="000E436A"/>
    <w:rsid w:val="00101FB4"/>
    <w:rsid w:val="00112E07"/>
    <w:rsid w:val="00115586"/>
    <w:rsid w:val="0012399B"/>
    <w:rsid w:val="0013008A"/>
    <w:rsid w:val="00130A6F"/>
    <w:rsid w:val="00144767"/>
    <w:rsid w:val="0014647C"/>
    <w:rsid w:val="001467D2"/>
    <w:rsid w:val="0015541F"/>
    <w:rsid w:val="001617FE"/>
    <w:rsid w:val="00163C14"/>
    <w:rsid w:val="001650AE"/>
    <w:rsid w:val="00165CF9"/>
    <w:rsid w:val="00167158"/>
    <w:rsid w:val="00171B79"/>
    <w:rsid w:val="001726E4"/>
    <w:rsid w:val="00173E60"/>
    <w:rsid w:val="00180912"/>
    <w:rsid w:val="00184F77"/>
    <w:rsid w:val="00191C3A"/>
    <w:rsid w:val="00195525"/>
    <w:rsid w:val="00196FB0"/>
    <w:rsid w:val="001A6B2C"/>
    <w:rsid w:val="001C6D62"/>
    <w:rsid w:val="001D6603"/>
    <w:rsid w:val="001E0904"/>
    <w:rsid w:val="001E364C"/>
    <w:rsid w:val="001E6231"/>
    <w:rsid w:val="001F1071"/>
    <w:rsid w:val="001F4F28"/>
    <w:rsid w:val="00207125"/>
    <w:rsid w:val="00215C7A"/>
    <w:rsid w:val="00227E75"/>
    <w:rsid w:val="002402D6"/>
    <w:rsid w:val="00241FDF"/>
    <w:rsid w:val="002425EB"/>
    <w:rsid w:val="00253004"/>
    <w:rsid w:val="00262759"/>
    <w:rsid w:val="00273158"/>
    <w:rsid w:val="002749A9"/>
    <w:rsid w:val="0029162B"/>
    <w:rsid w:val="00292D9C"/>
    <w:rsid w:val="002956F6"/>
    <w:rsid w:val="002A095C"/>
    <w:rsid w:val="002A0C43"/>
    <w:rsid w:val="002A2B9C"/>
    <w:rsid w:val="002A754D"/>
    <w:rsid w:val="002B3952"/>
    <w:rsid w:val="002C4ADD"/>
    <w:rsid w:val="002C787D"/>
    <w:rsid w:val="002D4051"/>
    <w:rsid w:val="002D43F4"/>
    <w:rsid w:val="002F5ABD"/>
    <w:rsid w:val="002F6D5B"/>
    <w:rsid w:val="00301755"/>
    <w:rsid w:val="00310E99"/>
    <w:rsid w:val="0032393F"/>
    <w:rsid w:val="00334EF0"/>
    <w:rsid w:val="00340504"/>
    <w:rsid w:val="0034208E"/>
    <w:rsid w:val="00342E82"/>
    <w:rsid w:val="00343443"/>
    <w:rsid w:val="003551D8"/>
    <w:rsid w:val="00361913"/>
    <w:rsid w:val="00367669"/>
    <w:rsid w:val="00370472"/>
    <w:rsid w:val="00374E3B"/>
    <w:rsid w:val="003759EC"/>
    <w:rsid w:val="00380572"/>
    <w:rsid w:val="00384598"/>
    <w:rsid w:val="00391564"/>
    <w:rsid w:val="0039324A"/>
    <w:rsid w:val="003A6BC7"/>
    <w:rsid w:val="003B4932"/>
    <w:rsid w:val="003C15E5"/>
    <w:rsid w:val="003D1EBB"/>
    <w:rsid w:val="003D5C9F"/>
    <w:rsid w:val="003D5D69"/>
    <w:rsid w:val="003F5B62"/>
    <w:rsid w:val="0040660A"/>
    <w:rsid w:val="00407747"/>
    <w:rsid w:val="00421877"/>
    <w:rsid w:val="00422B19"/>
    <w:rsid w:val="00431191"/>
    <w:rsid w:val="0043368D"/>
    <w:rsid w:val="004379D7"/>
    <w:rsid w:val="00442F19"/>
    <w:rsid w:val="0044418C"/>
    <w:rsid w:val="004446A7"/>
    <w:rsid w:val="00451F94"/>
    <w:rsid w:val="00454357"/>
    <w:rsid w:val="00456547"/>
    <w:rsid w:val="00456ABC"/>
    <w:rsid w:val="004617CE"/>
    <w:rsid w:val="00463407"/>
    <w:rsid w:val="004924F6"/>
    <w:rsid w:val="00493780"/>
    <w:rsid w:val="004A25D7"/>
    <w:rsid w:val="004B29C8"/>
    <w:rsid w:val="004B34A7"/>
    <w:rsid w:val="004C3B2F"/>
    <w:rsid w:val="004C798A"/>
    <w:rsid w:val="004D1746"/>
    <w:rsid w:val="004D274E"/>
    <w:rsid w:val="004E2AE9"/>
    <w:rsid w:val="004E491A"/>
    <w:rsid w:val="004F30C2"/>
    <w:rsid w:val="004F54D3"/>
    <w:rsid w:val="00500406"/>
    <w:rsid w:val="0050269A"/>
    <w:rsid w:val="00504EEA"/>
    <w:rsid w:val="00514142"/>
    <w:rsid w:val="005179E7"/>
    <w:rsid w:val="00517A3E"/>
    <w:rsid w:val="00521516"/>
    <w:rsid w:val="00523875"/>
    <w:rsid w:val="00524D8C"/>
    <w:rsid w:val="00551F3D"/>
    <w:rsid w:val="00567D45"/>
    <w:rsid w:val="00573E02"/>
    <w:rsid w:val="005772D5"/>
    <w:rsid w:val="0058145A"/>
    <w:rsid w:val="0058260E"/>
    <w:rsid w:val="005845C3"/>
    <w:rsid w:val="00584879"/>
    <w:rsid w:val="0059376A"/>
    <w:rsid w:val="005B26DF"/>
    <w:rsid w:val="005B4351"/>
    <w:rsid w:val="005C5A5B"/>
    <w:rsid w:val="005D1D06"/>
    <w:rsid w:val="005E5A3A"/>
    <w:rsid w:val="005F57EB"/>
    <w:rsid w:val="00607009"/>
    <w:rsid w:val="00611A07"/>
    <w:rsid w:val="00611AFA"/>
    <w:rsid w:val="0061370A"/>
    <w:rsid w:val="00627491"/>
    <w:rsid w:val="00631488"/>
    <w:rsid w:val="006334D6"/>
    <w:rsid w:val="006428C6"/>
    <w:rsid w:val="0066305A"/>
    <w:rsid w:val="00664E70"/>
    <w:rsid w:val="00682527"/>
    <w:rsid w:val="006919C7"/>
    <w:rsid w:val="006971DB"/>
    <w:rsid w:val="006A37D9"/>
    <w:rsid w:val="006C2C88"/>
    <w:rsid w:val="006C4E45"/>
    <w:rsid w:val="006C53F8"/>
    <w:rsid w:val="006D3E1C"/>
    <w:rsid w:val="006D4D82"/>
    <w:rsid w:val="006E51F0"/>
    <w:rsid w:val="006F306A"/>
    <w:rsid w:val="006F3C41"/>
    <w:rsid w:val="006F5DBA"/>
    <w:rsid w:val="007014E9"/>
    <w:rsid w:val="00711C97"/>
    <w:rsid w:val="00715C97"/>
    <w:rsid w:val="00722A35"/>
    <w:rsid w:val="00727271"/>
    <w:rsid w:val="007305B9"/>
    <w:rsid w:val="00730BCC"/>
    <w:rsid w:val="0074124D"/>
    <w:rsid w:val="007523CF"/>
    <w:rsid w:val="007619D1"/>
    <w:rsid w:val="00775B8B"/>
    <w:rsid w:val="0078311B"/>
    <w:rsid w:val="007904ED"/>
    <w:rsid w:val="00790E5F"/>
    <w:rsid w:val="00791B2D"/>
    <w:rsid w:val="007953AD"/>
    <w:rsid w:val="00797096"/>
    <w:rsid w:val="007A064A"/>
    <w:rsid w:val="007B55E7"/>
    <w:rsid w:val="007D3126"/>
    <w:rsid w:val="00802939"/>
    <w:rsid w:val="00817B54"/>
    <w:rsid w:val="008223A7"/>
    <w:rsid w:val="00830968"/>
    <w:rsid w:val="008350F2"/>
    <w:rsid w:val="00841B2B"/>
    <w:rsid w:val="008420A6"/>
    <w:rsid w:val="0086500D"/>
    <w:rsid w:val="00872526"/>
    <w:rsid w:val="008748DF"/>
    <w:rsid w:val="0087652D"/>
    <w:rsid w:val="00883C75"/>
    <w:rsid w:val="00890DC2"/>
    <w:rsid w:val="008969B0"/>
    <w:rsid w:val="008A2066"/>
    <w:rsid w:val="008B02FD"/>
    <w:rsid w:val="008B16FB"/>
    <w:rsid w:val="008C1DFA"/>
    <w:rsid w:val="008D4AFD"/>
    <w:rsid w:val="008E4819"/>
    <w:rsid w:val="008E4F85"/>
    <w:rsid w:val="008F1ADE"/>
    <w:rsid w:val="008F40A6"/>
    <w:rsid w:val="008F45BD"/>
    <w:rsid w:val="008F5AC7"/>
    <w:rsid w:val="008F6FC5"/>
    <w:rsid w:val="00905C64"/>
    <w:rsid w:val="0090612C"/>
    <w:rsid w:val="0091004D"/>
    <w:rsid w:val="00913ACD"/>
    <w:rsid w:val="00914EA6"/>
    <w:rsid w:val="00916870"/>
    <w:rsid w:val="00924C5D"/>
    <w:rsid w:val="0092558F"/>
    <w:rsid w:val="009300BD"/>
    <w:rsid w:val="0093076A"/>
    <w:rsid w:val="00931947"/>
    <w:rsid w:val="0094015F"/>
    <w:rsid w:val="00942CD2"/>
    <w:rsid w:val="00954A6F"/>
    <w:rsid w:val="00955ACE"/>
    <w:rsid w:val="00964354"/>
    <w:rsid w:val="00964416"/>
    <w:rsid w:val="0096508A"/>
    <w:rsid w:val="00973F84"/>
    <w:rsid w:val="00980A99"/>
    <w:rsid w:val="00986450"/>
    <w:rsid w:val="00994336"/>
    <w:rsid w:val="009A5824"/>
    <w:rsid w:val="009A683F"/>
    <w:rsid w:val="009B1BB9"/>
    <w:rsid w:val="009C64D7"/>
    <w:rsid w:val="009D4810"/>
    <w:rsid w:val="009D6F05"/>
    <w:rsid w:val="009F0B2D"/>
    <w:rsid w:val="009F2431"/>
    <w:rsid w:val="00A30518"/>
    <w:rsid w:val="00A30BE0"/>
    <w:rsid w:val="00A34FC1"/>
    <w:rsid w:val="00A43255"/>
    <w:rsid w:val="00A47CE9"/>
    <w:rsid w:val="00A54366"/>
    <w:rsid w:val="00A60655"/>
    <w:rsid w:val="00A6340A"/>
    <w:rsid w:val="00A81194"/>
    <w:rsid w:val="00A86C0E"/>
    <w:rsid w:val="00A908B8"/>
    <w:rsid w:val="00A93B78"/>
    <w:rsid w:val="00A93D2E"/>
    <w:rsid w:val="00A94873"/>
    <w:rsid w:val="00AA3EE0"/>
    <w:rsid w:val="00AB659A"/>
    <w:rsid w:val="00AB6894"/>
    <w:rsid w:val="00AC1B25"/>
    <w:rsid w:val="00AD47F6"/>
    <w:rsid w:val="00AD6EB6"/>
    <w:rsid w:val="00AE018D"/>
    <w:rsid w:val="00AE3859"/>
    <w:rsid w:val="00AE6045"/>
    <w:rsid w:val="00AF08E6"/>
    <w:rsid w:val="00AF1D8B"/>
    <w:rsid w:val="00B0304A"/>
    <w:rsid w:val="00B0495E"/>
    <w:rsid w:val="00B04FEE"/>
    <w:rsid w:val="00B41008"/>
    <w:rsid w:val="00B42312"/>
    <w:rsid w:val="00B5038C"/>
    <w:rsid w:val="00B50A8A"/>
    <w:rsid w:val="00B50C29"/>
    <w:rsid w:val="00B514BD"/>
    <w:rsid w:val="00B636FA"/>
    <w:rsid w:val="00B804E6"/>
    <w:rsid w:val="00B85EB3"/>
    <w:rsid w:val="00B9376F"/>
    <w:rsid w:val="00B97615"/>
    <w:rsid w:val="00BB158F"/>
    <w:rsid w:val="00BB5FD4"/>
    <w:rsid w:val="00BD313F"/>
    <w:rsid w:val="00BD3B03"/>
    <w:rsid w:val="00BD3FF4"/>
    <w:rsid w:val="00BE22D0"/>
    <w:rsid w:val="00BE24B9"/>
    <w:rsid w:val="00BE27EC"/>
    <w:rsid w:val="00BE72B3"/>
    <w:rsid w:val="00BF0F50"/>
    <w:rsid w:val="00C00A40"/>
    <w:rsid w:val="00C03A32"/>
    <w:rsid w:val="00C20579"/>
    <w:rsid w:val="00C34634"/>
    <w:rsid w:val="00C452C7"/>
    <w:rsid w:val="00C45DE5"/>
    <w:rsid w:val="00C45EAC"/>
    <w:rsid w:val="00C511A1"/>
    <w:rsid w:val="00C51A34"/>
    <w:rsid w:val="00C557D0"/>
    <w:rsid w:val="00C67E09"/>
    <w:rsid w:val="00C81C77"/>
    <w:rsid w:val="00C844F1"/>
    <w:rsid w:val="00C868B8"/>
    <w:rsid w:val="00C908B5"/>
    <w:rsid w:val="00C93CFF"/>
    <w:rsid w:val="00CA2D21"/>
    <w:rsid w:val="00CC1F96"/>
    <w:rsid w:val="00CE0860"/>
    <w:rsid w:val="00CE7F27"/>
    <w:rsid w:val="00CF2D52"/>
    <w:rsid w:val="00CF387A"/>
    <w:rsid w:val="00CF7FE9"/>
    <w:rsid w:val="00D00AF5"/>
    <w:rsid w:val="00D33E99"/>
    <w:rsid w:val="00D376CE"/>
    <w:rsid w:val="00D40D0F"/>
    <w:rsid w:val="00D434D8"/>
    <w:rsid w:val="00D4752D"/>
    <w:rsid w:val="00D520ED"/>
    <w:rsid w:val="00D52831"/>
    <w:rsid w:val="00D535D3"/>
    <w:rsid w:val="00D53728"/>
    <w:rsid w:val="00D57B4B"/>
    <w:rsid w:val="00D57DB6"/>
    <w:rsid w:val="00D60349"/>
    <w:rsid w:val="00D65730"/>
    <w:rsid w:val="00D7441F"/>
    <w:rsid w:val="00D96133"/>
    <w:rsid w:val="00DA1EDE"/>
    <w:rsid w:val="00DA3646"/>
    <w:rsid w:val="00DB378E"/>
    <w:rsid w:val="00DB3AE3"/>
    <w:rsid w:val="00DB4E23"/>
    <w:rsid w:val="00DC4633"/>
    <w:rsid w:val="00DC62E5"/>
    <w:rsid w:val="00DE4061"/>
    <w:rsid w:val="00DE5A8C"/>
    <w:rsid w:val="00E014B8"/>
    <w:rsid w:val="00E2446A"/>
    <w:rsid w:val="00E244A1"/>
    <w:rsid w:val="00E245DF"/>
    <w:rsid w:val="00E32D73"/>
    <w:rsid w:val="00E4279F"/>
    <w:rsid w:val="00E47A5C"/>
    <w:rsid w:val="00E50E61"/>
    <w:rsid w:val="00E5198F"/>
    <w:rsid w:val="00E52317"/>
    <w:rsid w:val="00E53805"/>
    <w:rsid w:val="00E601B0"/>
    <w:rsid w:val="00E64590"/>
    <w:rsid w:val="00E756B5"/>
    <w:rsid w:val="00E811D6"/>
    <w:rsid w:val="00E904CE"/>
    <w:rsid w:val="00E959A4"/>
    <w:rsid w:val="00EA611A"/>
    <w:rsid w:val="00EB0BAA"/>
    <w:rsid w:val="00EB183F"/>
    <w:rsid w:val="00EB1E0D"/>
    <w:rsid w:val="00EB27AA"/>
    <w:rsid w:val="00EE28B6"/>
    <w:rsid w:val="00EF0259"/>
    <w:rsid w:val="00EF73F1"/>
    <w:rsid w:val="00F0129D"/>
    <w:rsid w:val="00F020BF"/>
    <w:rsid w:val="00F02765"/>
    <w:rsid w:val="00F135D7"/>
    <w:rsid w:val="00F161F3"/>
    <w:rsid w:val="00F2652F"/>
    <w:rsid w:val="00F362AE"/>
    <w:rsid w:val="00F477BB"/>
    <w:rsid w:val="00F572F9"/>
    <w:rsid w:val="00F72703"/>
    <w:rsid w:val="00F87A31"/>
    <w:rsid w:val="00F90E6F"/>
    <w:rsid w:val="00F91162"/>
    <w:rsid w:val="00F9256A"/>
    <w:rsid w:val="00F94C93"/>
    <w:rsid w:val="00F975EE"/>
    <w:rsid w:val="00FA2CF5"/>
    <w:rsid w:val="00FB1208"/>
    <w:rsid w:val="00FB17A5"/>
    <w:rsid w:val="00FB7458"/>
    <w:rsid w:val="00FC6CF8"/>
    <w:rsid w:val="00FC76FA"/>
    <w:rsid w:val="00FD0D91"/>
    <w:rsid w:val="00FD0E1A"/>
    <w:rsid w:val="00FE0161"/>
    <w:rsid w:val="00FE0BBD"/>
    <w:rsid w:val="00FE268D"/>
    <w:rsid w:val="00FE3577"/>
    <w:rsid w:val="00FE3E7E"/>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B5FD4"/>
    <w:pPr>
      <w:spacing w:after="0" w:line="240" w:lineRule="auto"/>
      <w:jc w:val="center"/>
    </w:pPr>
    <w:rPr>
      <w:rFonts w:ascii="Times New Roman" w:eastAsia="Times New Roman" w:hAnsi="Times New Roman"/>
      <w:sz w:val="28"/>
      <w:szCs w:val="28"/>
      <w:lang w:val="uk-UA" w:eastAsia="uk-UA"/>
    </w:rPr>
  </w:style>
  <w:style w:type="character" w:customStyle="1" w:styleId="TitleChar">
    <w:name w:val="Title Char"/>
    <w:basedOn w:val="DefaultParagraphFont"/>
    <w:link w:val="Title"/>
    <w:uiPriority w:val="99"/>
    <w:locked/>
    <w:rsid w:val="00BB5FD4"/>
    <w:rPr>
      <w:rFonts w:ascii="Times New Roman" w:hAnsi="Times New Roman" w:cs="Times New Roman"/>
      <w:sz w:val="28"/>
      <w:szCs w:val="28"/>
      <w:lang w:val="uk-UA" w:eastAsia="uk-UA"/>
    </w:rPr>
  </w:style>
  <w:style w:type="paragraph" w:styleId="ListParagraph">
    <w:name w:val="List Paragraph"/>
    <w:basedOn w:val="Normal"/>
    <w:uiPriority w:val="99"/>
    <w:qFormat/>
    <w:rsid w:val="00C452C7"/>
    <w:pPr>
      <w:ind w:left="720"/>
      <w:contextualSpacing/>
    </w:pPr>
  </w:style>
  <w:style w:type="character" w:styleId="Hyperlink">
    <w:name w:val="Hyperlink"/>
    <w:basedOn w:val="DefaultParagraphFont"/>
    <w:uiPriority w:val="99"/>
    <w:rsid w:val="0092558F"/>
    <w:rPr>
      <w:rFonts w:cs="Times New Roman"/>
      <w:color w:val="0000FF"/>
      <w:u w:val="single"/>
    </w:rPr>
  </w:style>
  <w:style w:type="paragraph" w:styleId="NormalWeb">
    <w:name w:val="Normal (Web)"/>
    <w:basedOn w:val="Normal"/>
    <w:uiPriority w:val="99"/>
    <w:semiHidden/>
    <w:rsid w:val="0083096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BodyTextIndent">
    <w:name w:val="Body Text Indent"/>
    <w:basedOn w:val="Normal"/>
    <w:link w:val="BodyTextIndentChar"/>
    <w:uiPriority w:val="99"/>
    <w:semiHidden/>
    <w:rsid w:val="00830968"/>
    <w:pPr>
      <w:spacing w:after="120" w:line="240" w:lineRule="auto"/>
      <w:ind w:left="283"/>
    </w:pPr>
    <w:rPr>
      <w:rFonts w:ascii="Times New Roman" w:eastAsia="Times New Roman" w:hAnsi="Times New Roman"/>
      <w:sz w:val="24"/>
      <w:szCs w:val="24"/>
      <w:lang w:val="uk-UA" w:eastAsia="uk-UA"/>
    </w:rPr>
  </w:style>
  <w:style w:type="character" w:customStyle="1" w:styleId="BodyTextIndentChar">
    <w:name w:val="Body Text Indent Char"/>
    <w:basedOn w:val="DefaultParagraphFont"/>
    <w:link w:val="BodyTextIndent"/>
    <w:uiPriority w:val="99"/>
    <w:semiHidden/>
    <w:locked/>
    <w:rsid w:val="00830968"/>
    <w:rPr>
      <w:rFonts w:ascii="Times New Roman" w:hAnsi="Times New Roman" w:cs="Times New Roman"/>
      <w:sz w:val="24"/>
      <w:szCs w:val="24"/>
      <w:lang w:val="uk-UA" w:eastAsia="uk-UA"/>
    </w:rPr>
  </w:style>
  <w:style w:type="table" w:styleId="TableGrid">
    <w:name w:val="Table Grid"/>
    <w:basedOn w:val="TableNormal"/>
    <w:uiPriority w:val="99"/>
    <w:rsid w:val="00573E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31191"/>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31205171">
      <w:marLeft w:val="0"/>
      <w:marRight w:val="0"/>
      <w:marTop w:val="0"/>
      <w:marBottom w:val="0"/>
      <w:divBdr>
        <w:top w:val="none" w:sz="0" w:space="0" w:color="auto"/>
        <w:left w:val="none" w:sz="0" w:space="0" w:color="auto"/>
        <w:bottom w:val="none" w:sz="0" w:space="0" w:color="auto"/>
        <w:right w:val="none" w:sz="0" w:space="0" w:color="auto"/>
      </w:divBdr>
    </w:div>
    <w:div w:id="631205175">
      <w:marLeft w:val="0"/>
      <w:marRight w:val="0"/>
      <w:marTop w:val="0"/>
      <w:marBottom w:val="0"/>
      <w:divBdr>
        <w:top w:val="none" w:sz="0" w:space="0" w:color="auto"/>
        <w:left w:val="none" w:sz="0" w:space="0" w:color="auto"/>
        <w:bottom w:val="none" w:sz="0" w:space="0" w:color="auto"/>
        <w:right w:val="none" w:sz="0" w:space="0" w:color="auto"/>
      </w:divBdr>
    </w:div>
    <w:div w:id="631205176">
      <w:marLeft w:val="0"/>
      <w:marRight w:val="0"/>
      <w:marTop w:val="0"/>
      <w:marBottom w:val="0"/>
      <w:divBdr>
        <w:top w:val="none" w:sz="0" w:space="0" w:color="auto"/>
        <w:left w:val="none" w:sz="0" w:space="0" w:color="auto"/>
        <w:bottom w:val="none" w:sz="0" w:space="0" w:color="auto"/>
        <w:right w:val="none" w:sz="0" w:space="0" w:color="auto"/>
      </w:divBdr>
    </w:div>
    <w:div w:id="631205177">
      <w:marLeft w:val="0"/>
      <w:marRight w:val="0"/>
      <w:marTop w:val="0"/>
      <w:marBottom w:val="0"/>
      <w:divBdr>
        <w:top w:val="none" w:sz="0" w:space="0" w:color="auto"/>
        <w:left w:val="none" w:sz="0" w:space="0" w:color="auto"/>
        <w:bottom w:val="none" w:sz="0" w:space="0" w:color="auto"/>
        <w:right w:val="none" w:sz="0" w:space="0" w:color="auto"/>
      </w:divBdr>
    </w:div>
    <w:div w:id="631205184">
      <w:marLeft w:val="0"/>
      <w:marRight w:val="0"/>
      <w:marTop w:val="0"/>
      <w:marBottom w:val="0"/>
      <w:divBdr>
        <w:top w:val="none" w:sz="0" w:space="0" w:color="auto"/>
        <w:left w:val="none" w:sz="0" w:space="0" w:color="auto"/>
        <w:bottom w:val="none" w:sz="0" w:space="0" w:color="auto"/>
        <w:right w:val="none" w:sz="0" w:space="0" w:color="auto"/>
      </w:divBdr>
      <w:divsChild>
        <w:div w:id="631205182">
          <w:marLeft w:val="0"/>
          <w:marRight w:val="0"/>
          <w:marTop w:val="0"/>
          <w:marBottom w:val="0"/>
          <w:divBdr>
            <w:top w:val="none" w:sz="0" w:space="0" w:color="auto"/>
            <w:left w:val="none" w:sz="0" w:space="0" w:color="auto"/>
            <w:bottom w:val="none" w:sz="0" w:space="0" w:color="auto"/>
            <w:right w:val="none" w:sz="0" w:space="0" w:color="auto"/>
          </w:divBdr>
        </w:div>
        <w:div w:id="631205192">
          <w:marLeft w:val="0"/>
          <w:marRight w:val="0"/>
          <w:marTop w:val="0"/>
          <w:marBottom w:val="0"/>
          <w:divBdr>
            <w:top w:val="none" w:sz="0" w:space="0" w:color="auto"/>
            <w:left w:val="none" w:sz="0" w:space="0" w:color="auto"/>
            <w:bottom w:val="none" w:sz="0" w:space="0" w:color="auto"/>
            <w:right w:val="none" w:sz="0" w:space="0" w:color="auto"/>
          </w:divBdr>
        </w:div>
        <w:div w:id="631205202">
          <w:marLeft w:val="0"/>
          <w:marRight w:val="0"/>
          <w:marTop w:val="0"/>
          <w:marBottom w:val="0"/>
          <w:divBdr>
            <w:top w:val="none" w:sz="0" w:space="0" w:color="auto"/>
            <w:left w:val="none" w:sz="0" w:space="0" w:color="auto"/>
            <w:bottom w:val="none" w:sz="0" w:space="0" w:color="auto"/>
            <w:right w:val="none" w:sz="0" w:space="0" w:color="auto"/>
          </w:divBdr>
        </w:div>
      </w:divsChild>
    </w:div>
    <w:div w:id="631205185">
      <w:marLeft w:val="0"/>
      <w:marRight w:val="0"/>
      <w:marTop w:val="0"/>
      <w:marBottom w:val="0"/>
      <w:divBdr>
        <w:top w:val="none" w:sz="0" w:space="0" w:color="auto"/>
        <w:left w:val="none" w:sz="0" w:space="0" w:color="auto"/>
        <w:bottom w:val="none" w:sz="0" w:space="0" w:color="auto"/>
        <w:right w:val="none" w:sz="0" w:space="0" w:color="auto"/>
      </w:divBdr>
    </w:div>
    <w:div w:id="631205189">
      <w:marLeft w:val="0"/>
      <w:marRight w:val="0"/>
      <w:marTop w:val="0"/>
      <w:marBottom w:val="0"/>
      <w:divBdr>
        <w:top w:val="none" w:sz="0" w:space="0" w:color="auto"/>
        <w:left w:val="none" w:sz="0" w:space="0" w:color="auto"/>
        <w:bottom w:val="none" w:sz="0" w:space="0" w:color="auto"/>
        <w:right w:val="none" w:sz="0" w:space="0" w:color="auto"/>
      </w:divBdr>
    </w:div>
    <w:div w:id="631205190">
      <w:marLeft w:val="0"/>
      <w:marRight w:val="0"/>
      <w:marTop w:val="0"/>
      <w:marBottom w:val="0"/>
      <w:divBdr>
        <w:top w:val="none" w:sz="0" w:space="0" w:color="auto"/>
        <w:left w:val="none" w:sz="0" w:space="0" w:color="auto"/>
        <w:bottom w:val="none" w:sz="0" w:space="0" w:color="auto"/>
        <w:right w:val="none" w:sz="0" w:space="0" w:color="auto"/>
      </w:divBdr>
      <w:divsChild>
        <w:div w:id="631205174">
          <w:marLeft w:val="0"/>
          <w:marRight w:val="0"/>
          <w:marTop w:val="0"/>
          <w:marBottom w:val="0"/>
          <w:divBdr>
            <w:top w:val="none" w:sz="0" w:space="0" w:color="auto"/>
            <w:left w:val="none" w:sz="0" w:space="0" w:color="auto"/>
            <w:bottom w:val="none" w:sz="0" w:space="0" w:color="auto"/>
            <w:right w:val="none" w:sz="0" w:space="0" w:color="auto"/>
          </w:divBdr>
        </w:div>
        <w:div w:id="631205186">
          <w:marLeft w:val="0"/>
          <w:marRight w:val="0"/>
          <w:marTop w:val="0"/>
          <w:marBottom w:val="0"/>
          <w:divBdr>
            <w:top w:val="none" w:sz="0" w:space="0" w:color="auto"/>
            <w:left w:val="none" w:sz="0" w:space="0" w:color="auto"/>
            <w:bottom w:val="none" w:sz="0" w:space="0" w:color="auto"/>
            <w:right w:val="none" w:sz="0" w:space="0" w:color="auto"/>
          </w:divBdr>
        </w:div>
        <w:div w:id="631205193">
          <w:marLeft w:val="0"/>
          <w:marRight w:val="0"/>
          <w:marTop w:val="0"/>
          <w:marBottom w:val="0"/>
          <w:divBdr>
            <w:top w:val="none" w:sz="0" w:space="0" w:color="auto"/>
            <w:left w:val="none" w:sz="0" w:space="0" w:color="auto"/>
            <w:bottom w:val="none" w:sz="0" w:space="0" w:color="auto"/>
            <w:right w:val="none" w:sz="0" w:space="0" w:color="auto"/>
          </w:divBdr>
        </w:div>
      </w:divsChild>
    </w:div>
    <w:div w:id="631205191">
      <w:marLeft w:val="0"/>
      <w:marRight w:val="0"/>
      <w:marTop w:val="0"/>
      <w:marBottom w:val="0"/>
      <w:divBdr>
        <w:top w:val="none" w:sz="0" w:space="0" w:color="auto"/>
        <w:left w:val="none" w:sz="0" w:space="0" w:color="auto"/>
        <w:bottom w:val="none" w:sz="0" w:space="0" w:color="auto"/>
        <w:right w:val="none" w:sz="0" w:space="0" w:color="auto"/>
      </w:divBdr>
    </w:div>
    <w:div w:id="631205195">
      <w:marLeft w:val="0"/>
      <w:marRight w:val="0"/>
      <w:marTop w:val="0"/>
      <w:marBottom w:val="0"/>
      <w:divBdr>
        <w:top w:val="none" w:sz="0" w:space="0" w:color="auto"/>
        <w:left w:val="none" w:sz="0" w:space="0" w:color="auto"/>
        <w:bottom w:val="none" w:sz="0" w:space="0" w:color="auto"/>
        <w:right w:val="none" w:sz="0" w:space="0" w:color="auto"/>
      </w:divBdr>
    </w:div>
    <w:div w:id="631205198">
      <w:marLeft w:val="0"/>
      <w:marRight w:val="0"/>
      <w:marTop w:val="0"/>
      <w:marBottom w:val="0"/>
      <w:divBdr>
        <w:top w:val="none" w:sz="0" w:space="0" w:color="auto"/>
        <w:left w:val="none" w:sz="0" w:space="0" w:color="auto"/>
        <w:bottom w:val="none" w:sz="0" w:space="0" w:color="auto"/>
        <w:right w:val="none" w:sz="0" w:space="0" w:color="auto"/>
      </w:divBdr>
      <w:divsChild>
        <w:div w:id="631205168">
          <w:marLeft w:val="0"/>
          <w:marRight w:val="0"/>
          <w:marTop w:val="0"/>
          <w:marBottom w:val="0"/>
          <w:divBdr>
            <w:top w:val="none" w:sz="0" w:space="0" w:color="auto"/>
            <w:left w:val="none" w:sz="0" w:space="0" w:color="auto"/>
            <w:bottom w:val="none" w:sz="0" w:space="0" w:color="auto"/>
            <w:right w:val="none" w:sz="0" w:space="0" w:color="auto"/>
          </w:divBdr>
        </w:div>
        <w:div w:id="631205172">
          <w:marLeft w:val="0"/>
          <w:marRight w:val="0"/>
          <w:marTop w:val="0"/>
          <w:marBottom w:val="0"/>
          <w:divBdr>
            <w:top w:val="none" w:sz="0" w:space="0" w:color="auto"/>
            <w:left w:val="none" w:sz="0" w:space="0" w:color="auto"/>
            <w:bottom w:val="none" w:sz="0" w:space="0" w:color="auto"/>
            <w:right w:val="none" w:sz="0" w:space="0" w:color="auto"/>
          </w:divBdr>
        </w:div>
        <w:div w:id="631205178">
          <w:marLeft w:val="0"/>
          <w:marRight w:val="0"/>
          <w:marTop w:val="0"/>
          <w:marBottom w:val="0"/>
          <w:divBdr>
            <w:top w:val="none" w:sz="0" w:space="0" w:color="auto"/>
            <w:left w:val="none" w:sz="0" w:space="0" w:color="auto"/>
            <w:bottom w:val="none" w:sz="0" w:space="0" w:color="auto"/>
            <w:right w:val="none" w:sz="0" w:space="0" w:color="auto"/>
          </w:divBdr>
        </w:div>
        <w:div w:id="631205200">
          <w:marLeft w:val="0"/>
          <w:marRight w:val="0"/>
          <w:marTop w:val="0"/>
          <w:marBottom w:val="0"/>
          <w:divBdr>
            <w:top w:val="none" w:sz="0" w:space="0" w:color="auto"/>
            <w:left w:val="none" w:sz="0" w:space="0" w:color="auto"/>
            <w:bottom w:val="none" w:sz="0" w:space="0" w:color="auto"/>
            <w:right w:val="none" w:sz="0" w:space="0" w:color="auto"/>
          </w:divBdr>
        </w:div>
        <w:div w:id="631205203">
          <w:marLeft w:val="0"/>
          <w:marRight w:val="0"/>
          <w:marTop w:val="0"/>
          <w:marBottom w:val="0"/>
          <w:divBdr>
            <w:top w:val="none" w:sz="0" w:space="0" w:color="auto"/>
            <w:left w:val="none" w:sz="0" w:space="0" w:color="auto"/>
            <w:bottom w:val="none" w:sz="0" w:space="0" w:color="auto"/>
            <w:right w:val="none" w:sz="0" w:space="0" w:color="auto"/>
          </w:divBdr>
        </w:div>
        <w:div w:id="631205208">
          <w:marLeft w:val="0"/>
          <w:marRight w:val="0"/>
          <w:marTop w:val="0"/>
          <w:marBottom w:val="0"/>
          <w:divBdr>
            <w:top w:val="none" w:sz="0" w:space="0" w:color="auto"/>
            <w:left w:val="none" w:sz="0" w:space="0" w:color="auto"/>
            <w:bottom w:val="none" w:sz="0" w:space="0" w:color="auto"/>
            <w:right w:val="none" w:sz="0" w:space="0" w:color="auto"/>
          </w:divBdr>
        </w:div>
        <w:div w:id="631205211">
          <w:marLeft w:val="0"/>
          <w:marRight w:val="0"/>
          <w:marTop w:val="0"/>
          <w:marBottom w:val="0"/>
          <w:divBdr>
            <w:top w:val="none" w:sz="0" w:space="0" w:color="auto"/>
            <w:left w:val="none" w:sz="0" w:space="0" w:color="auto"/>
            <w:bottom w:val="none" w:sz="0" w:space="0" w:color="auto"/>
            <w:right w:val="none" w:sz="0" w:space="0" w:color="auto"/>
          </w:divBdr>
        </w:div>
      </w:divsChild>
    </w:div>
    <w:div w:id="631205199">
      <w:marLeft w:val="0"/>
      <w:marRight w:val="0"/>
      <w:marTop w:val="0"/>
      <w:marBottom w:val="0"/>
      <w:divBdr>
        <w:top w:val="none" w:sz="0" w:space="0" w:color="auto"/>
        <w:left w:val="none" w:sz="0" w:space="0" w:color="auto"/>
        <w:bottom w:val="none" w:sz="0" w:space="0" w:color="auto"/>
        <w:right w:val="none" w:sz="0" w:space="0" w:color="auto"/>
      </w:divBdr>
    </w:div>
    <w:div w:id="631205201">
      <w:marLeft w:val="0"/>
      <w:marRight w:val="0"/>
      <w:marTop w:val="0"/>
      <w:marBottom w:val="0"/>
      <w:divBdr>
        <w:top w:val="none" w:sz="0" w:space="0" w:color="auto"/>
        <w:left w:val="none" w:sz="0" w:space="0" w:color="auto"/>
        <w:bottom w:val="none" w:sz="0" w:space="0" w:color="auto"/>
        <w:right w:val="none" w:sz="0" w:space="0" w:color="auto"/>
      </w:divBdr>
    </w:div>
    <w:div w:id="631205204">
      <w:marLeft w:val="0"/>
      <w:marRight w:val="0"/>
      <w:marTop w:val="0"/>
      <w:marBottom w:val="0"/>
      <w:divBdr>
        <w:top w:val="none" w:sz="0" w:space="0" w:color="auto"/>
        <w:left w:val="none" w:sz="0" w:space="0" w:color="auto"/>
        <w:bottom w:val="none" w:sz="0" w:space="0" w:color="auto"/>
        <w:right w:val="none" w:sz="0" w:space="0" w:color="auto"/>
      </w:divBdr>
    </w:div>
    <w:div w:id="631205206">
      <w:marLeft w:val="0"/>
      <w:marRight w:val="0"/>
      <w:marTop w:val="0"/>
      <w:marBottom w:val="0"/>
      <w:divBdr>
        <w:top w:val="none" w:sz="0" w:space="0" w:color="auto"/>
        <w:left w:val="none" w:sz="0" w:space="0" w:color="auto"/>
        <w:bottom w:val="none" w:sz="0" w:space="0" w:color="auto"/>
        <w:right w:val="none" w:sz="0" w:space="0" w:color="auto"/>
      </w:divBdr>
    </w:div>
    <w:div w:id="631205207">
      <w:marLeft w:val="0"/>
      <w:marRight w:val="0"/>
      <w:marTop w:val="0"/>
      <w:marBottom w:val="0"/>
      <w:divBdr>
        <w:top w:val="none" w:sz="0" w:space="0" w:color="auto"/>
        <w:left w:val="none" w:sz="0" w:space="0" w:color="auto"/>
        <w:bottom w:val="none" w:sz="0" w:space="0" w:color="auto"/>
        <w:right w:val="none" w:sz="0" w:space="0" w:color="auto"/>
      </w:divBdr>
    </w:div>
    <w:div w:id="631205209">
      <w:marLeft w:val="0"/>
      <w:marRight w:val="0"/>
      <w:marTop w:val="0"/>
      <w:marBottom w:val="0"/>
      <w:divBdr>
        <w:top w:val="none" w:sz="0" w:space="0" w:color="auto"/>
        <w:left w:val="none" w:sz="0" w:space="0" w:color="auto"/>
        <w:bottom w:val="none" w:sz="0" w:space="0" w:color="auto"/>
        <w:right w:val="none" w:sz="0" w:space="0" w:color="auto"/>
      </w:divBdr>
    </w:div>
    <w:div w:id="631205210">
      <w:marLeft w:val="0"/>
      <w:marRight w:val="0"/>
      <w:marTop w:val="0"/>
      <w:marBottom w:val="0"/>
      <w:divBdr>
        <w:top w:val="none" w:sz="0" w:space="0" w:color="auto"/>
        <w:left w:val="none" w:sz="0" w:space="0" w:color="auto"/>
        <w:bottom w:val="none" w:sz="0" w:space="0" w:color="auto"/>
        <w:right w:val="none" w:sz="0" w:space="0" w:color="auto"/>
      </w:divBdr>
      <w:divsChild>
        <w:div w:id="631205169">
          <w:marLeft w:val="0"/>
          <w:marRight w:val="0"/>
          <w:marTop w:val="0"/>
          <w:marBottom w:val="0"/>
          <w:divBdr>
            <w:top w:val="none" w:sz="0" w:space="0" w:color="auto"/>
            <w:left w:val="none" w:sz="0" w:space="0" w:color="auto"/>
            <w:bottom w:val="none" w:sz="0" w:space="0" w:color="auto"/>
            <w:right w:val="none" w:sz="0" w:space="0" w:color="auto"/>
          </w:divBdr>
        </w:div>
        <w:div w:id="631205170">
          <w:marLeft w:val="0"/>
          <w:marRight w:val="0"/>
          <w:marTop w:val="0"/>
          <w:marBottom w:val="0"/>
          <w:divBdr>
            <w:top w:val="none" w:sz="0" w:space="0" w:color="auto"/>
            <w:left w:val="none" w:sz="0" w:space="0" w:color="auto"/>
            <w:bottom w:val="none" w:sz="0" w:space="0" w:color="auto"/>
            <w:right w:val="none" w:sz="0" w:space="0" w:color="auto"/>
          </w:divBdr>
        </w:div>
        <w:div w:id="631205173">
          <w:marLeft w:val="0"/>
          <w:marRight w:val="0"/>
          <w:marTop w:val="0"/>
          <w:marBottom w:val="0"/>
          <w:divBdr>
            <w:top w:val="none" w:sz="0" w:space="0" w:color="auto"/>
            <w:left w:val="none" w:sz="0" w:space="0" w:color="auto"/>
            <w:bottom w:val="none" w:sz="0" w:space="0" w:color="auto"/>
            <w:right w:val="none" w:sz="0" w:space="0" w:color="auto"/>
          </w:divBdr>
        </w:div>
        <w:div w:id="631205179">
          <w:marLeft w:val="0"/>
          <w:marRight w:val="0"/>
          <w:marTop w:val="0"/>
          <w:marBottom w:val="0"/>
          <w:divBdr>
            <w:top w:val="none" w:sz="0" w:space="0" w:color="auto"/>
            <w:left w:val="none" w:sz="0" w:space="0" w:color="auto"/>
            <w:bottom w:val="none" w:sz="0" w:space="0" w:color="auto"/>
            <w:right w:val="none" w:sz="0" w:space="0" w:color="auto"/>
          </w:divBdr>
        </w:div>
        <w:div w:id="631205180">
          <w:marLeft w:val="0"/>
          <w:marRight w:val="0"/>
          <w:marTop w:val="0"/>
          <w:marBottom w:val="0"/>
          <w:divBdr>
            <w:top w:val="none" w:sz="0" w:space="0" w:color="auto"/>
            <w:left w:val="none" w:sz="0" w:space="0" w:color="auto"/>
            <w:bottom w:val="none" w:sz="0" w:space="0" w:color="auto"/>
            <w:right w:val="none" w:sz="0" w:space="0" w:color="auto"/>
          </w:divBdr>
        </w:div>
        <w:div w:id="631205181">
          <w:marLeft w:val="0"/>
          <w:marRight w:val="0"/>
          <w:marTop w:val="0"/>
          <w:marBottom w:val="0"/>
          <w:divBdr>
            <w:top w:val="none" w:sz="0" w:space="0" w:color="auto"/>
            <w:left w:val="none" w:sz="0" w:space="0" w:color="auto"/>
            <w:bottom w:val="none" w:sz="0" w:space="0" w:color="auto"/>
            <w:right w:val="none" w:sz="0" w:space="0" w:color="auto"/>
          </w:divBdr>
        </w:div>
        <w:div w:id="631205183">
          <w:marLeft w:val="0"/>
          <w:marRight w:val="0"/>
          <w:marTop w:val="0"/>
          <w:marBottom w:val="0"/>
          <w:divBdr>
            <w:top w:val="none" w:sz="0" w:space="0" w:color="auto"/>
            <w:left w:val="none" w:sz="0" w:space="0" w:color="auto"/>
            <w:bottom w:val="none" w:sz="0" w:space="0" w:color="auto"/>
            <w:right w:val="none" w:sz="0" w:space="0" w:color="auto"/>
          </w:divBdr>
        </w:div>
        <w:div w:id="631205187">
          <w:marLeft w:val="0"/>
          <w:marRight w:val="0"/>
          <w:marTop w:val="0"/>
          <w:marBottom w:val="0"/>
          <w:divBdr>
            <w:top w:val="none" w:sz="0" w:space="0" w:color="auto"/>
            <w:left w:val="none" w:sz="0" w:space="0" w:color="auto"/>
            <w:bottom w:val="none" w:sz="0" w:space="0" w:color="auto"/>
            <w:right w:val="none" w:sz="0" w:space="0" w:color="auto"/>
          </w:divBdr>
        </w:div>
        <w:div w:id="631205188">
          <w:marLeft w:val="0"/>
          <w:marRight w:val="0"/>
          <w:marTop w:val="0"/>
          <w:marBottom w:val="0"/>
          <w:divBdr>
            <w:top w:val="none" w:sz="0" w:space="0" w:color="auto"/>
            <w:left w:val="none" w:sz="0" w:space="0" w:color="auto"/>
            <w:bottom w:val="none" w:sz="0" w:space="0" w:color="auto"/>
            <w:right w:val="none" w:sz="0" w:space="0" w:color="auto"/>
          </w:divBdr>
        </w:div>
        <w:div w:id="631205194">
          <w:marLeft w:val="0"/>
          <w:marRight w:val="0"/>
          <w:marTop w:val="0"/>
          <w:marBottom w:val="0"/>
          <w:divBdr>
            <w:top w:val="none" w:sz="0" w:space="0" w:color="auto"/>
            <w:left w:val="none" w:sz="0" w:space="0" w:color="auto"/>
            <w:bottom w:val="none" w:sz="0" w:space="0" w:color="auto"/>
            <w:right w:val="none" w:sz="0" w:space="0" w:color="auto"/>
          </w:divBdr>
        </w:div>
        <w:div w:id="631205196">
          <w:marLeft w:val="0"/>
          <w:marRight w:val="0"/>
          <w:marTop w:val="0"/>
          <w:marBottom w:val="0"/>
          <w:divBdr>
            <w:top w:val="none" w:sz="0" w:space="0" w:color="auto"/>
            <w:left w:val="none" w:sz="0" w:space="0" w:color="auto"/>
            <w:bottom w:val="none" w:sz="0" w:space="0" w:color="auto"/>
            <w:right w:val="none" w:sz="0" w:space="0" w:color="auto"/>
          </w:divBdr>
        </w:div>
        <w:div w:id="631205197">
          <w:marLeft w:val="0"/>
          <w:marRight w:val="0"/>
          <w:marTop w:val="0"/>
          <w:marBottom w:val="0"/>
          <w:divBdr>
            <w:top w:val="none" w:sz="0" w:space="0" w:color="auto"/>
            <w:left w:val="none" w:sz="0" w:space="0" w:color="auto"/>
            <w:bottom w:val="none" w:sz="0" w:space="0" w:color="auto"/>
            <w:right w:val="none" w:sz="0" w:space="0" w:color="auto"/>
          </w:divBdr>
        </w:div>
        <w:div w:id="631205205">
          <w:marLeft w:val="0"/>
          <w:marRight w:val="0"/>
          <w:marTop w:val="0"/>
          <w:marBottom w:val="0"/>
          <w:divBdr>
            <w:top w:val="none" w:sz="0" w:space="0" w:color="auto"/>
            <w:left w:val="none" w:sz="0" w:space="0" w:color="auto"/>
            <w:bottom w:val="none" w:sz="0" w:space="0" w:color="auto"/>
            <w:right w:val="none" w:sz="0" w:space="0" w:color="auto"/>
          </w:divBdr>
        </w:div>
        <w:div w:id="6312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12</Pages>
  <Words>3344</Words>
  <Characters>19062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330</dc:title>
  <dc:subject/>
  <dc:creator>Ольга Васильевна</dc:creator>
  <cp:keywords/>
  <dc:description/>
  <cp:lastModifiedBy>ITS</cp:lastModifiedBy>
  <cp:revision>3</cp:revision>
  <cp:lastPrinted>2018-06-11T12:29:00Z</cp:lastPrinted>
  <dcterms:created xsi:type="dcterms:W3CDTF">2018-06-13T16:35:00Z</dcterms:created>
  <dcterms:modified xsi:type="dcterms:W3CDTF">2018-06-13T20:30:00Z</dcterms:modified>
</cp:coreProperties>
</file>